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80" w:lineRule="exact"/>
        <w:jc w:val="center"/>
        <w:rPr>
          <w:rFonts w:ascii="方正小标宋简体" w:hAnsi="方正小标宋简体" w:eastAsia="方正小标宋简体" w:cs="方正小标宋简体"/>
          <w:bCs/>
          <w:color w:val="525353"/>
          <w:sz w:val="44"/>
          <w:szCs w:val="44"/>
        </w:rPr>
      </w:pPr>
      <w:r>
        <w:rPr>
          <w:rFonts w:hint="eastAsia" w:ascii="方正小标宋简体" w:hAnsi="方正小标宋简体" w:eastAsia="方正小标宋简体" w:cs="方正小标宋简体"/>
          <w:bCs/>
          <w:color w:val="525353"/>
          <w:sz w:val="44"/>
          <w:szCs w:val="44"/>
        </w:rPr>
        <w:t>广西工艺美术学校</w:t>
      </w:r>
    </w:p>
    <w:p>
      <w:pPr>
        <w:pStyle w:val="4"/>
        <w:shd w:val="clear" w:color="auto" w:fill="FFFFFF"/>
        <w:spacing w:before="0" w:beforeAutospacing="0" w:after="0" w:afterAutospacing="0" w:line="580" w:lineRule="exact"/>
        <w:jc w:val="center"/>
        <w:rPr>
          <w:rFonts w:ascii="方正小标宋简体" w:hAnsi="方正小标宋简体" w:eastAsia="方正小标宋简体" w:cs="方正小标宋简体"/>
          <w:bCs/>
          <w:color w:val="525353"/>
          <w:sz w:val="44"/>
          <w:szCs w:val="44"/>
        </w:rPr>
      </w:pPr>
      <w:r>
        <w:rPr>
          <w:rFonts w:hint="eastAsia" w:ascii="方正小标宋简体" w:hAnsi="方正小标宋简体" w:eastAsia="方正小标宋简体" w:cs="方正小标宋简体"/>
          <w:bCs/>
          <w:color w:val="525353"/>
          <w:sz w:val="44"/>
          <w:szCs w:val="44"/>
        </w:rPr>
        <w:t>2024年单位预算公开</w:t>
      </w:r>
    </w:p>
    <w:p>
      <w:pPr>
        <w:pStyle w:val="4"/>
        <w:shd w:val="clear" w:color="auto" w:fill="FFFFFF"/>
        <w:spacing w:before="0" w:beforeAutospacing="0" w:after="0" w:afterAutospacing="0" w:line="580" w:lineRule="exact"/>
        <w:jc w:val="center"/>
        <w:rPr>
          <w:color w:val="525353"/>
          <w:sz w:val="30"/>
          <w:szCs w:val="30"/>
        </w:rPr>
      </w:pPr>
    </w:p>
    <w:p>
      <w:pPr>
        <w:pStyle w:val="4"/>
        <w:shd w:val="clear" w:color="auto" w:fill="FFFFFF"/>
        <w:spacing w:before="0" w:beforeAutospacing="0" w:after="0" w:afterAutospacing="0" w:line="580" w:lineRule="exact"/>
        <w:jc w:val="center"/>
        <w:rPr>
          <w:rFonts w:ascii="黑体" w:hAnsi="黑体" w:eastAsia="黑体" w:cstheme="minorEastAsia"/>
          <w:b/>
          <w:color w:val="525353"/>
          <w:sz w:val="32"/>
          <w:szCs w:val="32"/>
        </w:rPr>
      </w:pPr>
      <w:r>
        <w:rPr>
          <w:rFonts w:hint="eastAsia" w:ascii="黑体" w:hAnsi="黑体" w:eastAsia="黑体" w:cstheme="minorEastAsia"/>
          <w:b/>
          <w:color w:val="525353"/>
          <w:sz w:val="32"/>
          <w:szCs w:val="32"/>
        </w:rPr>
        <w:t xml:space="preserve"> 目   录</w:t>
      </w:r>
    </w:p>
    <w:p>
      <w:pPr>
        <w:pStyle w:val="4"/>
        <w:shd w:val="clear" w:color="auto" w:fill="FFFFFF"/>
        <w:spacing w:line="340" w:lineRule="exact"/>
        <w:ind w:firstLine="640" w:firstLineChars="200"/>
        <w:rPr>
          <w:rFonts w:ascii="黑体" w:hAnsi="黑体" w:eastAsia="黑体" w:cs="仿宋_GB2312"/>
          <w:color w:val="525353"/>
          <w:sz w:val="32"/>
          <w:szCs w:val="32"/>
        </w:rPr>
      </w:pPr>
      <w:r>
        <w:rPr>
          <w:rFonts w:hint="eastAsia" w:ascii="黑体" w:hAnsi="黑体" w:eastAsia="黑体" w:cs="黑体"/>
          <w:color w:val="525353"/>
          <w:sz w:val="32"/>
          <w:szCs w:val="32"/>
        </w:rPr>
        <w:t>第</w:t>
      </w:r>
      <w:r>
        <w:rPr>
          <w:rFonts w:hint="eastAsia" w:ascii="黑体" w:hAnsi="黑体" w:eastAsia="黑体" w:cs="仿宋_GB2312"/>
          <w:color w:val="525353"/>
          <w:sz w:val="32"/>
          <w:szCs w:val="32"/>
        </w:rPr>
        <w:t>一部分：单位概况</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一、主要职能</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二、机构设置情况</w:t>
      </w:r>
    </w:p>
    <w:p>
      <w:pPr>
        <w:pStyle w:val="4"/>
        <w:shd w:val="clear" w:color="auto" w:fill="FFFFFF"/>
        <w:spacing w:line="340" w:lineRule="exact"/>
        <w:ind w:firstLine="640" w:firstLineChars="200"/>
        <w:rPr>
          <w:rFonts w:ascii="黑体" w:hAnsi="黑体" w:eastAsia="黑体" w:cs="仿宋_GB2312"/>
          <w:color w:val="525353"/>
          <w:sz w:val="32"/>
          <w:szCs w:val="32"/>
        </w:rPr>
      </w:pPr>
      <w:r>
        <w:rPr>
          <w:rFonts w:hint="eastAsia" w:ascii="黑体" w:hAnsi="黑体" w:eastAsia="黑体" w:cs="仿宋_GB2312"/>
          <w:color w:val="525353"/>
          <w:sz w:val="32"/>
          <w:szCs w:val="32"/>
        </w:rPr>
        <w:t>第二部分：广西工艺美术学校2023年单位预算情况说明</w:t>
      </w:r>
    </w:p>
    <w:p>
      <w:pPr>
        <w:pStyle w:val="4"/>
        <w:shd w:val="clear" w:color="auto" w:fill="FFFFFF"/>
        <w:spacing w:line="340" w:lineRule="exact"/>
        <w:ind w:firstLine="640" w:firstLineChars="200"/>
        <w:rPr>
          <w:rFonts w:ascii="黑体" w:hAnsi="黑体" w:eastAsia="黑体" w:cs="仿宋_GB2312"/>
          <w:color w:val="525353"/>
          <w:sz w:val="32"/>
          <w:szCs w:val="32"/>
        </w:rPr>
      </w:pPr>
      <w:r>
        <w:rPr>
          <w:rFonts w:hint="eastAsia" w:ascii="黑体" w:hAnsi="黑体" w:eastAsia="黑体" w:cs="仿宋_GB2312"/>
          <w:color w:val="525353"/>
          <w:sz w:val="32"/>
          <w:szCs w:val="32"/>
        </w:rPr>
        <w:t>第三部分：名词解释</w:t>
      </w:r>
    </w:p>
    <w:p>
      <w:pPr>
        <w:pStyle w:val="4"/>
        <w:shd w:val="clear" w:color="auto" w:fill="FFFFFF"/>
        <w:spacing w:before="0" w:beforeAutospacing="0" w:after="0" w:afterAutospacing="0" w:line="34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第四部分：广西工艺美术学校2023年单位预算公开报表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一、单位收支总体情况表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二、单位收入总体情况表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三、单位支出总体情况表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四、财政拨款收支总体情况表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五、一般公共预算支出情况表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六、一般公共预算基本支出情况表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七、财政拨款“三公”经费、会议费和培训费</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八、政府性基金预算支出情况表</w:t>
      </w:r>
    </w:p>
    <w:p>
      <w:pPr>
        <w:pStyle w:val="4"/>
        <w:shd w:val="clear" w:color="auto" w:fill="FFFFFF"/>
        <w:spacing w:line="34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九、国有资本经营预算支出情况表</w:t>
      </w:r>
    </w:p>
    <w:p>
      <w:pPr>
        <w:pStyle w:val="4"/>
        <w:shd w:val="clear" w:color="auto" w:fill="FFFFFF"/>
        <w:spacing w:line="340" w:lineRule="exact"/>
        <w:ind w:firstLine="640" w:firstLineChars="200"/>
        <w:rPr>
          <w:rFonts w:ascii="仿宋" w:hAnsi="仿宋" w:eastAsia="仿宋" w:cs="仿宋_GB2312"/>
          <w:color w:val="525353"/>
          <w:sz w:val="32"/>
          <w:szCs w:val="32"/>
        </w:rPr>
      </w:pPr>
      <w:r>
        <w:rPr>
          <w:rFonts w:hint="eastAsia" w:ascii="仿宋" w:hAnsi="仿宋" w:eastAsia="仿宋" w:cs="仿宋_GB2312"/>
          <w:color w:val="525353"/>
          <w:sz w:val="32"/>
          <w:szCs w:val="32"/>
        </w:rPr>
        <w:t>十、表10 自治区本级项目绩效目标公开表</w:t>
      </w:r>
    </w:p>
    <w:p>
      <w:pPr>
        <w:pStyle w:val="4"/>
        <w:shd w:val="clear" w:color="auto" w:fill="FFFFFF"/>
        <w:spacing w:line="340" w:lineRule="exact"/>
        <w:ind w:firstLine="640" w:firstLineChars="200"/>
        <w:rPr>
          <w:rFonts w:ascii="仿宋" w:hAnsi="仿宋" w:eastAsia="仿宋" w:cs="仿宋_GB2312"/>
          <w:color w:val="525353"/>
          <w:sz w:val="32"/>
          <w:szCs w:val="32"/>
        </w:rPr>
      </w:pPr>
      <w:r>
        <w:rPr>
          <w:rFonts w:hint="eastAsia" w:ascii="仿宋" w:hAnsi="仿宋" w:eastAsia="仿宋" w:cs="仿宋_GB2312"/>
          <w:color w:val="525353"/>
          <w:sz w:val="32"/>
          <w:szCs w:val="32"/>
        </w:rPr>
        <w:t>十一、表11 自治区对下转移支付项目绩效目标公开表</w:t>
      </w:r>
    </w:p>
    <w:p>
      <w:pPr>
        <w:pStyle w:val="4"/>
        <w:shd w:val="clear" w:color="auto" w:fill="FFFFFF"/>
        <w:spacing w:before="0" w:beforeAutospacing="0" w:after="0" w:afterAutospacing="0" w:line="580" w:lineRule="exact"/>
        <w:ind w:firstLine="600" w:firstLineChars="200"/>
        <w:rPr>
          <w:color w:val="525353"/>
          <w:sz w:val="30"/>
          <w:szCs w:val="30"/>
        </w:rPr>
      </w:pPr>
    </w:p>
    <w:p>
      <w:pPr>
        <w:pStyle w:val="4"/>
        <w:shd w:val="clear" w:color="auto" w:fill="FFFFFF"/>
        <w:spacing w:before="0" w:beforeAutospacing="0" w:after="0" w:afterAutospacing="0" w:line="580" w:lineRule="exact"/>
        <w:ind w:firstLine="640" w:firstLineChars="200"/>
        <w:jc w:val="center"/>
        <w:rPr>
          <w:rFonts w:ascii="黑体" w:hAnsi="黑体" w:eastAsia="黑体" w:cs="黑体"/>
          <w:bCs/>
          <w:color w:val="525353"/>
          <w:sz w:val="32"/>
          <w:szCs w:val="32"/>
        </w:rPr>
      </w:pPr>
      <w:r>
        <w:rPr>
          <w:rFonts w:hint="eastAsia" w:ascii="黑体" w:hAnsi="黑体" w:eastAsia="黑体" w:cs="黑体"/>
          <w:bCs/>
          <w:color w:val="525353"/>
          <w:sz w:val="32"/>
          <w:szCs w:val="32"/>
        </w:rPr>
        <w:t>第一部分 单位概况</w:t>
      </w:r>
    </w:p>
    <w:p>
      <w:pPr>
        <w:pStyle w:val="4"/>
        <w:shd w:val="clear" w:color="auto" w:fill="FFFFFF"/>
        <w:spacing w:before="0" w:beforeAutospacing="0" w:after="0" w:afterAutospacing="0" w:line="580" w:lineRule="exact"/>
        <w:ind w:firstLine="640" w:firstLineChars="200"/>
        <w:jc w:val="center"/>
        <w:rPr>
          <w:rFonts w:ascii="黑体" w:hAnsi="黑体" w:eastAsia="黑体" w:cs="黑体"/>
          <w:bCs/>
          <w:color w:val="525353"/>
          <w:sz w:val="32"/>
          <w:szCs w:val="32"/>
        </w:rPr>
      </w:pP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广西工艺美术学校位于柳州市柳石路412号，是公益二类中等职业学校、财政补助事业单位、全日制艺术类重点中等职业学校。学校于1983年正式创建，深耕职业教育三十多年，办学底蕴深厚，学校是中国首批工艺美术大师传承创新基地院校、自治区首批民族文化传承创新基地院校、自治区三星级中等职业学校、自治区卫生先进单位。</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学校占地面积近60亩，在校生1133人，教职工71人，教学设施完备，图书馆、展厅、各类工艺制作室、计算机教室、多媒体教室等一应俱全。</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学校办学优势明显。学校开设工艺美术专业（装潢、室内设计方向）、计算机网络技术专业、美容美发及形象设计专业、动漫与游戏制作专业、服装设计与工艺专业、民间传统工艺专业、中西面点专业等。其中工艺美术专业作为学校的核心专业，是“自治区示范性专业”、工艺美术实训基地是“自治区示范性实训基地”。学校在全区中等职业教育领域已形成专业特色鲜明、专业设置齐全、专业结构合理、教学模式独特的强大优势。</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学校办学成效显著。近年来，随着教育教学质量和社会美誉度的持续提升，学校在区内外的影响力和吸引力不断增强，招生规模逐年扩大，近五年均以较大幅度超额完成上级部门下达的年度招生任务，近三年招生计划完成率位列全区同类中等职业学校前茅；学校就业质量一流，建校至今已累计为区内外相关行业培养和输送近万名艺术设计类人才。</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学校办学前景广阔。近年来，基于现实与未来长远发展的需要，学校始终在为谋求更高层次的办学格局和更广阔的办学前景而不懈努力，并已取得重要突破，各项建设事业发展进入“快车道”。</w:t>
      </w: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一、主要职能</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广西工艺美术学校主要职能是：依法实施中等职业学历教育，以全日制教育为主要形式；根据社会需要和办学条件，依法开展合作办学、职业培训、职业技能鉴定及其他教育合作项目。学校立足广西，根据经济社会和职业教育发展需要，加强内涵与专业建设，服务区域经济社会发展，培养适应社会发展需要的德、智、体全面发展的高素质技能型人才。</w:t>
      </w: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二、机构设置情况</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广西工艺美术学校内设机构设置为：办公室、教务科、学保科、总务科、财务科、招就办，共6个科室。</w:t>
      </w: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40" w:firstLineChars="200"/>
        <w:rPr>
          <w:rStyle w:val="9"/>
          <w:rFonts w:ascii="仿宋_GB2312" w:hAnsi="仿宋_GB2312" w:eastAsia="仿宋_GB2312" w:cs="仿宋_GB2312"/>
          <w:b w:val="0"/>
          <w:bCs w:val="0"/>
          <w:color w:val="525353"/>
          <w:sz w:val="32"/>
          <w:szCs w:val="32"/>
        </w:rPr>
      </w:pPr>
    </w:p>
    <w:p>
      <w:pPr>
        <w:pStyle w:val="4"/>
        <w:shd w:val="clear" w:color="auto" w:fill="FFFFFF"/>
        <w:spacing w:before="0" w:beforeAutospacing="0" w:after="0" w:afterAutospacing="0" w:line="580" w:lineRule="exact"/>
        <w:ind w:firstLine="633" w:firstLineChars="198"/>
        <w:jc w:val="center"/>
        <w:rPr>
          <w:rFonts w:ascii="黑体" w:hAnsi="黑体" w:eastAsia="黑体" w:cs="黑体"/>
          <w:color w:val="525353"/>
          <w:sz w:val="32"/>
          <w:szCs w:val="32"/>
        </w:rPr>
      </w:pPr>
      <w:r>
        <w:rPr>
          <w:rStyle w:val="9"/>
          <w:rFonts w:hint="eastAsia" w:ascii="黑体" w:hAnsi="黑体" w:eastAsia="黑体" w:cs="黑体"/>
          <w:b w:val="0"/>
          <w:bCs w:val="0"/>
          <w:color w:val="525353"/>
          <w:sz w:val="32"/>
          <w:szCs w:val="32"/>
        </w:rPr>
        <w:t>第二部分：广西工艺美术学校2024年单位预算情况说明</w:t>
      </w: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一、单位收支总预算情况说明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2024年我单位收入总预算</w:t>
      </w:r>
      <w:r>
        <w:rPr>
          <w:rFonts w:ascii="仿宋_GB2312" w:hAnsi="仿宋_GB2312" w:eastAsia="仿宋_GB2312" w:cs="仿宋_GB2312"/>
          <w:color w:val="525353"/>
          <w:sz w:val="32"/>
          <w:szCs w:val="32"/>
        </w:rPr>
        <w:t>1765.14</w:t>
      </w:r>
      <w:r>
        <w:rPr>
          <w:rFonts w:hint="eastAsia" w:ascii="仿宋_GB2312" w:hAnsi="仿宋_GB2312" w:eastAsia="仿宋_GB2312" w:cs="仿宋_GB2312"/>
          <w:color w:val="525353"/>
          <w:sz w:val="32"/>
          <w:szCs w:val="32"/>
        </w:rPr>
        <w:t>万元，同比减少529.91万元，下降了23.09%。其中：一般公共预算拨款1613.48万元，为经费拨款，同比减少576.44万元，下降了26.32%；纳入财政专户管理的收入安排的资金</w:t>
      </w:r>
      <w:r>
        <w:rPr>
          <w:rFonts w:ascii="仿宋_GB2312" w:hAnsi="仿宋_GB2312" w:eastAsia="仿宋_GB2312" w:cs="仿宋_GB2312"/>
          <w:color w:val="525353"/>
          <w:sz w:val="32"/>
          <w:szCs w:val="32"/>
        </w:rPr>
        <w:t>151.66</w:t>
      </w:r>
      <w:r>
        <w:rPr>
          <w:rFonts w:hint="eastAsia" w:ascii="仿宋_GB2312" w:hAnsi="仿宋_GB2312" w:eastAsia="仿宋_GB2312" w:cs="仿宋_GB2312"/>
          <w:color w:val="525353"/>
          <w:sz w:val="32"/>
          <w:szCs w:val="32"/>
        </w:rPr>
        <w:t>万元，同比增加46.53万元，增长了44.26%；其他收入安排的资金0万元，同比无增减变动。</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2024年收入总预算减少的主要原因是：</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1.一般公共预算拨款比去年减少了576.44万元，主要原因是本级财政专项减少。</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2.纳入财政专户管理的收入安排的资金比去年增加了</w:t>
      </w:r>
      <w:r>
        <w:rPr>
          <w:rFonts w:ascii="仿宋_GB2312" w:hAnsi="仿宋_GB2312" w:eastAsia="仿宋_GB2312" w:cs="仿宋_GB2312"/>
          <w:color w:val="525353"/>
          <w:sz w:val="32"/>
          <w:szCs w:val="32"/>
        </w:rPr>
        <w:t>46.53</w:t>
      </w:r>
      <w:r>
        <w:rPr>
          <w:rFonts w:hint="eastAsia" w:ascii="仿宋_GB2312" w:hAnsi="仿宋_GB2312" w:eastAsia="仿宋_GB2312" w:cs="仿宋_GB2312"/>
          <w:color w:val="525353"/>
          <w:sz w:val="32"/>
          <w:szCs w:val="32"/>
        </w:rPr>
        <w:t>万元，主要原因是退休人员生活补助增加以及将由财政专户资金支出的医疗补助编入年度预算。</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2024年支出总预算</w:t>
      </w:r>
      <w:r>
        <w:rPr>
          <w:rFonts w:ascii="仿宋_GB2312" w:hAnsi="仿宋_GB2312" w:eastAsia="仿宋_GB2312" w:cs="仿宋_GB2312"/>
          <w:color w:val="525353"/>
          <w:sz w:val="32"/>
          <w:szCs w:val="32"/>
        </w:rPr>
        <w:t>1765.14</w:t>
      </w:r>
      <w:r>
        <w:rPr>
          <w:rFonts w:hint="eastAsia" w:ascii="仿宋_GB2312" w:hAnsi="仿宋_GB2312" w:eastAsia="仿宋_GB2312" w:cs="仿宋_GB2312"/>
          <w:color w:val="525353"/>
          <w:sz w:val="32"/>
          <w:szCs w:val="32"/>
        </w:rPr>
        <w:t>万元，同比减少529.91万元，下降了23.09%，其中：中等职业教育支出</w:t>
      </w:r>
      <w:r>
        <w:rPr>
          <w:rFonts w:ascii="仿宋_GB2312" w:hAnsi="仿宋_GB2312" w:eastAsia="仿宋_GB2312" w:cs="仿宋_GB2312"/>
          <w:color w:val="525353"/>
          <w:sz w:val="32"/>
          <w:szCs w:val="32"/>
        </w:rPr>
        <w:t>1567.68</w:t>
      </w:r>
      <w:r>
        <w:rPr>
          <w:rFonts w:hint="eastAsia" w:ascii="仿宋_GB2312" w:hAnsi="仿宋_GB2312" w:eastAsia="仿宋_GB2312" w:cs="仿宋_GB2312"/>
          <w:color w:val="525353"/>
          <w:sz w:val="32"/>
          <w:szCs w:val="32"/>
        </w:rPr>
        <w:t>万元，社会保障支出</w:t>
      </w:r>
      <w:r>
        <w:rPr>
          <w:rFonts w:ascii="仿宋_GB2312" w:hAnsi="仿宋_GB2312" w:eastAsia="仿宋_GB2312" w:cs="仿宋_GB2312"/>
          <w:color w:val="525353"/>
          <w:sz w:val="32"/>
          <w:szCs w:val="32"/>
        </w:rPr>
        <w:t>83.26</w:t>
      </w:r>
      <w:r>
        <w:rPr>
          <w:rFonts w:hint="eastAsia" w:ascii="仿宋_GB2312" w:hAnsi="仿宋_GB2312" w:eastAsia="仿宋_GB2312" w:cs="仿宋_GB2312"/>
          <w:color w:val="525353"/>
          <w:sz w:val="32"/>
          <w:szCs w:val="32"/>
        </w:rPr>
        <w:t>万元，卫生健康支出</w:t>
      </w:r>
      <w:r>
        <w:rPr>
          <w:rFonts w:ascii="仿宋_GB2312" w:hAnsi="仿宋_GB2312" w:eastAsia="仿宋_GB2312" w:cs="仿宋_GB2312"/>
          <w:color w:val="525353"/>
          <w:sz w:val="32"/>
          <w:szCs w:val="32"/>
        </w:rPr>
        <w:t>72.56</w:t>
      </w:r>
      <w:r>
        <w:rPr>
          <w:rFonts w:hint="eastAsia" w:ascii="仿宋_GB2312" w:hAnsi="仿宋_GB2312" w:eastAsia="仿宋_GB2312" w:cs="仿宋_GB2312"/>
          <w:color w:val="525353"/>
          <w:sz w:val="32"/>
          <w:szCs w:val="32"/>
        </w:rPr>
        <w:t>万元，住房保障支出</w:t>
      </w:r>
      <w:r>
        <w:rPr>
          <w:rFonts w:ascii="仿宋_GB2312" w:hAnsi="仿宋_GB2312" w:eastAsia="仿宋_GB2312" w:cs="仿宋_GB2312"/>
          <w:color w:val="525353"/>
          <w:sz w:val="32"/>
          <w:szCs w:val="32"/>
        </w:rPr>
        <w:t>41.63</w:t>
      </w:r>
      <w:r>
        <w:rPr>
          <w:rFonts w:hint="eastAsia" w:ascii="仿宋_GB2312" w:hAnsi="仿宋_GB2312" w:eastAsia="仿宋_GB2312" w:cs="仿宋_GB2312"/>
          <w:color w:val="525353"/>
          <w:sz w:val="32"/>
          <w:szCs w:val="32"/>
        </w:rPr>
        <w:t>万元。</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2024年支出总预算减少的主要原因是本级财政专项减少</w:t>
      </w:r>
      <w:bookmarkStart w:id="0" w:name="_GoBack"/>
      <w:bookmarkEnd w:id="0"/>
      <w:r>
        <w:rPr>
          <w:rFonts w:hint="eastAsia" w:ascii="仿宋_GB2312" w:hAnsi="仿宋_GB2312" w:eastAsia="仿宋_GB2312" w:cs="仿宋_GB2312"/>
          <w:color w:val="525353"/>
          <w:sz w:val="32"/>
          <w:szCs w:val="32"/>
        </w:rPr>
        <w:t>。</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450" w:firstLineChars="150"/>
        <w:rPr>
          <w:rFonts w:ascii="黑体" w:hAnsi="黑体" w:eastAsia="黑体" w:cs="黑体"/>
          <w:color w:val="525353"/>
          <w:sz w:val="30"/>
          <w:szCs w:val="30"/>
        </w:rPr>
      </w:pPr>
      <w:r>
        <w:rPr>
          <w:rFonts w:hint="eastAsia" w:ascii="黑体" w:hAnsi="黑体" w:eastAsia="黑体" w:cs="黑体"/>
          <w:color w:val="525353"/>
          <w:sz w:val="30"/>
          <w:szCs w:val="30"/>
        </w:rPr>
        <w:t>二、单位收入总预算情况说明</w:t>
      </w:r>
    </w:p>
    <w:p>
      <w:pPr>
        <w:pStyle w:val="4"/>
        <w:shd w:val="clear" w:color="auto" w:fill="FFFFFF"/>
        <w:spacing w:before="0" w:beforeAutospacing="0" w:after="0" w:afterAutospacing="0" w:line="580" w:lineRule="exact"/>
        <w:ind w:firstLine="480" w:firstLineChars="15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2024年收入总预算</w:t>
      </w:r>
      <w:r>
        <w:rPr>
          <w:rFonts w:ascii="仿宋_GB2312" w:hAnsi="仿宋_GB2312" w:eastAsia="仿宋_GB2312" w:cs="仿宋_GB2312"/>
          <w:color w:val="525353"/>
          <w:sz w:val="32"/>
          <w:szCs w:val="32"/>
        </w:rPr>
        <w:t>1,765.14</w:t>
      </w:r>
      <w:r>
        <w:rPr>
          <w:rFonts w:hint="eastAsia" w:ascii="仿宋_GB2312" w:hAnsi="仿宋_GB2312" w:eastAsia="仿宋_GB2312" w:cs="仿宋_GB2312"/>
          <w:color w:val="525353"/>
          <w:sz w:val="32"/>
          <w:szCs w:val="32"/>
        </w:rPr>
        <w:t>万元，同比减少529.91万元，下降了23.09%。其中：</w:t>
      </w:r>
    </w:p>
    <w:p>
      <w:pPr>
        <w:spacing w:line="580" w:lineRule="exact"/>
        <w:ind w:firstLine="640" w:firstLineChars="200"/>
        <w:rPr>
          <w:rFonts w:ascii="仿宋_GB2312" w:hAnsi="仿宋_GB2312" w:eastAsia="仿宋_GB2312" w:cs="仿宋_GB2312"/>
          <w:sz w:val="32"/>
          <w:szCs w:val="32"/>
        </w:rPr>
      </w:pPr>
      <w:r>
        <w:rPr>
          <w:rStyle w:val="9"/>
          <w:rFonts w:hint="eastAsia" w:ascii="仿宋_GB2312" w:hAnsi="仿宋_GB2312" w:eastAsia="仿宋_GB2312" w:cs="仿宋_GB2312"/>
          <w:b w:val="0"/>
          <w:bCs w:val="0"/>
          <w:color w:val="525353"/>
          <w:sz w:val="32"/>
          <w:szCs w:val="32"/>
        </w:rPr>
        <w:t>（一）一般公共财政预算拨款</w:t>
      </w:r>
      <w:r>
        <w:rPr>
          <w:rFonts w:ascii="仿宋_GB2312" w:hAnsi="仿宋_GB2312" w:eastAsia="仿宋_GB2312" w:cs="仿宋_GB2312"/>
          <w:sz w:val="32"/>
          <w:szCs w:val="32"/>
        </w:rPr>
        <w:t>1,613.48</w:t>
      </w:r>
      <w:r>
        <w:rPr>
          <w:rFonts w:hint="eastAsia" w:ascii="仿宋_GB2312" w:hAnsi="仿宋_GB2312" w:eastAsia="仿宋_GB2312" w:cs="仿宋_GB2312"/>
          <w:sz w:val="32"/>
          <w:szCs w:val="32"/>
        </w:rPr>
        <w:t>万元，为经费拨款，</w:t>
      </w:r>
      <w:r>
        <w:rPr>
          <w:rFonts w:hint="eastAsia" w:ascii="仿宋_GB2312" w:hAnsi="仿宋_GB2312" w:eastAsia="仿宋_GB2312" w:cs="仿宋_GB2312"/>
          <w:color w:val="525353"/>
          <w:sz w:val="32"/>
          <w:szCs w:val="32"/>
        </w:rPr>
        <w:t>同比减少576.44万元，下降了26.32</w:t>
      </w:r>
      <w:r>
        <w:rPr>
          <w:rFonts w:hint="eastAsia" w:ascii="仿宋_GB2312" w:hAnsi="仿宋_GB2312" w:eastAsia="仿宋_GB2312" w:cs="仿宋_GB2312"/>
          <w:sz w:val="32"/>
          <w:szCs w:val="32"/>
        </w:rPr>
        <w:t>%。其中：</w:t>
      </w:r>
    </w:p>
    <w:p>
      <w:pPr>
        <w:pStyle w:val="4"/>
        <w:shd w:val="clear" w:color="auto" w:fill="FFFFFF"/>
        <w:spacing w:before="0" w:beforeAutospacing="0" w:after="0" w:afterAutospacing="0" w:line="580" w:lineRule="exact"/>
        <w:ind w:firstLine="633" w:firstLineChars="19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1.经费拨款</w:t>
      </w:r>
      <w:r>
        <w:rPr>
          <w:rFonts w:ascii="仿宋_GB2312" w:hAnsi="仿宋_GB2312" w:eastAsia="仿宋_GB2312" w:cs="仿宋_GB2312"/>
          <w:sz w:val="32"/>
          <w:szCs w:val="32"/>
        </w:rPr>
        <w:t>1,613.48</w:t>
      </w:r>
      <w:r>
        <w:rPr>
          <w:rFonts w:hint="eastAsia" w:ascii="仿宋_GB2312" w:hAnsi="仿宋_GB2312" w:eastAsia="仿宋_GB2312" w:cs="仿宋_GB2312"/>
          <w:color w:val="525353"/>
          <w:sz w:val="32"/>
          <w:szCs w:val="32"/>
        </w:rPr>
        <w:t>万元，同比减少576.44万元，下降了26.32%，减少的主要原因是减少了自治区本级财政专项项目预算。</w:t>
      </w:r>
    </w:p>
    <w:p>
      <w:pPr>
        <w:pStyle w:val="4"/>
        <w:shd w:val="clear" w:color="auto" w:fill="FFFFFF"/>
        <w:spacing w:before="0" w:beforeAutospacing="0" w:after="0" w:afterAutospacing="0" w:line="580" w:lineRule="exact"/>
        <w:ind w:firstLine="633" w:firstLineChars="19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2.纳入一般公共预算管理的非税收入安排的资金</w:t>
      </w:r>
      <w:r>
        <w:rPr>
          <w:rFonts w:hint="eastAsia" w:ascii="仿宋_GB2312" w:hAnsi="仿宋_GB2312" w:eastAsia="仿宋_GB2312" w:cs="仿宋_GB2312"/>
          <w:color w:val="525353"/>
          <w:sz w:val="32"/>
          <w:szCs w:val="32"/>
        </w:rPr>
        <w:t>0万元，与上年相同，无增减变动。</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（二）政府性基金预算拨款和国有资本经营预算拨款：</w:t>
      </w:r>
      <w:r>
        <w:rPr>
          <w:rFonts w:hint="eastAsia" w:ascii="仿宋_GB2312" w:hAnsi="仿宋_GB2312" w:eastAsia="仿宋_GB2312" w:cs="仿宋_GB2312"/>
          <w:color w:val="525353"/>
          <w:sz w:val="32"/>
          <w:szCs w:val="32"/>
        </w:rPr>
        <w:t>无，与上年一致。</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（三）纳入财政专户管理的收入安排的资金</w:t>
      </w:r>
      <w:r>
        <w:rPr>
          <w:rFonts w:ascii="仿宋_GB2312" w:hAnsi="仿宋_GB2312" w:eastAsia="仿宋_GB2312" w:cs="仿宋_GB2312"/>
          <w:color w:val="525353"/>
          <w:sz w:val="32"/>
          <w:szCs w:val="32"/>
        </w:rPr>
        <w:t>151.66</w:t>
      </w:r>
      <w:r>
        <w:rPr>
          <w:rFonts w:hint="eastAsia" w:ascii="仿宋_GB2312" w:hAnsi="仿宋_GB2312" w:eastAsia="仿宋_GB2312" w:cs="仿宋_GB2312"/>
          <w:color w:val="525353"/>
          <w:sz w:val="32"/>
          <w:szCs w:val="32"/>
        </w:rPr>
        <w:t>万元，同比增加46.53万元，增长了44.26%，其中：教育收费收入安排的资金</w:t>
      </w:r>
      <w:r>
        <w:rPr>
          <w:rFonts w:ascii="仿宋_GB2312" w:hAnsi="仿宋_GB2312" w:eastAsia="仿宋_GB2312" w:cs="仿宋_GB2312"/>
          <w:color w:val="525353"/>
          <w:sz w:val="32"/>
          <w:szCs w:val="32"/>
        </w:rPr>
        <w:t>151.66</w:t>
      </w:r>
      <w:r>
        <w:rPr>
          <w:rFonts w:hint="eastAsia" w:ascii="仿宋_GB2312" w:hAnsi="仿宋_GB2312" w:eastAsia="仿宋_GB2312" w:cs="仿宋_GB2312"/>
          <w:color w:val="525353"/>
          <w:sz w:val="32"/>
          <w:szCs w:val="32"/>
        </w:rPr>
        <w:t>万元，同比增加46.53万元，增长了44.26%，增加的主要原因是退休人员生活补助增加以及将由财政专户资金支出的医疗补助编入年度预算。</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（四）未纳入财政专户管理的收入安排的资金</w:t>
      </w:r>
      <w:r>
        <w:rPr>
          <w:rFonts w:hint="eastAsia" w:ascii="仿宋_GB2312" w:hAnsi="仿宋_GB2312" w:eastAsia="仿宋_GB2312" w:cs="仿宋_GB2312"/>
          <w:color w:val="525353"/>
          <w:sz w:val="32"/>
          <w:szCs w:val="32"/>
        </w:rPr>
        <w:t>和</w:t>
      </w:r>
      <w:r>
        <w:rPr>
          <w:rStyle w:val="9"/>
          <w:rFonts w:hint="eastAsia" w:ascii="仿宋_GB2312" w:hAnsi="仿宋_GB2312" w:eastAsia="仿宋_GB2312" w:cs="仿宋_GB2312"/>
          <w:b w:val="0"/>
          <w:bCs w:val="0"/>
          <w:color w:val="525353"/>
          <w:sz w:val="32"/>
          <w:szCs w:val="32"/>
        </w:rPr>
        <w:t>上年结余收入：</w:t>
      </w:r>
      <w:r>
        <w:rPr>
          <w:rFonts w:hint="eastAsia" w:ascii="仿宋_GB2312" w:hAnsi="仿宋_GB2312" w:eastAsia="仿宋_GB2312" w:cs="仿宋_GB2312"/>
          <w:color w:val="525353"/>
          <w:sz w:val="32"/>
          <w:szCs w:val="32"/>
        </w:rPr>
        <w:t>无，与上年一致。</w:t>
      </w: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三、单位支出总预算情况说明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2024年支出总预算</w:t>
      </w:r>
      <w:r>
        <w:rPr>
          <w:rFonts w:ascii="仿宋_GB2312" w:hAnsi="仿宋_GB2312" w:eastAsia="仿宋_GB2312" w:cs="仿宋_GB2312"/>
          <w:color w:val="525353"/>
          <w:sz w:val="32"/>
          <w:szCs w:val="32"/>
        </w:rPr>
        <w:t>1,765.14</w:t>
      </w:r>
      <w:r>
        <w:rPr>
          <w:rFonts w:hint="eastAsia" w:ascii="仿宋_GB2312" w:hAnsi="仿宋_GB2312" w:eastAsia="仿宋_GB2312" w:cs="仿宋_GB2312"/>
          <w:color w:val="525353"/>
          <w:sz w:val="32"/>
          <w:szCs w:val="32"/>
        </w:rPr>
        <w:t>万元，基本支出预算</w:t>
      </w:r>
      <w:r>
        <w:rPr>
          <w:rFonts w:ascii="仿宋_GB2312" w:hAnsi="仿宋_GB2312" w:eastAsia="仿宋_GB2312" w:cs="仿宋_GB2312"/>
          <w:color w:val="525353"/>
          <w:sz w:val="32"/>
          <w:szCs w:val="32"/>
        </w:rPr>
        <w:t>870.54</w:t>
      </w:r>
      <w:r>
        <w:rPr>
          <w:rFonts w:hint="eastAsia" w:ascii="仿宋_GB2312" w:hAnsi="仿宋_GB2312" w:eastAsia="仿宋_GB2312" w:cs="仿宋_GB2312"/>
          <w:color w:val="525353"/>
          <w:sz w:val="32"/>
          <w:szCs w:val="32"/>
        </w:rPr>
        <w:t>万元，占支出总预算49.32%，同比减少6.91万元，下降0.79%；项目支出预算</w:t>
      </w:r>
      <w:r>
        <w:rPr>
          <w:rFonts w:ascii="仿宋_GB2312" w:hAnsi="仿宋_GB2312" w:eastAsia="仿宋_GB2312" w:cs="仿宋_GB2312"/>
          <w:color w:val="525353"/>
          <w:sz w:val="32"/>
          <w:szCs w:val="32"/>
        </w:rPr>
        <w:t>894.60</w:t>
      </w:r>
      <w:r>
        <w:rPr>
          <w:rFonts w:hint="eastAsia" w:ascii="仿宋_GB2312" w:hAnsi="仿宋_GB2312" w:eastAsia="仿宋_GB2312" w:cs="仿宋_GB2312"/>
          <w:color w:val="525353"/>
          <w:sz w:val="32"/>
          <w:szCs w:val="32"/>
        </w:rPr>
        <w:t>万元，占支出总预算50.68%，同比减少523万元，下降36.89%。</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（一）按支出功能分类科目划分</w:t>
      </w:r>
      <w:r>
        <w:rPr>
          <w:rFonts w:hint="eastAsia" w:ascii="仿宋_GB2312" w:hAnsi="仿宋_GB2312" w:eastAsia="仿宋_GB2312" w:cs="仿宋_GB2312"/>
          <w:color w:val="525353"/>
          <w:sz w:val="32"/>
          <w:szCs w:val="32"/>
        </w:rPr>
        <w:t>，共分为4类，其中：</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1. 205教育支出</w:t>
      </w:r>
      <w:r>
        <w:rPr>
          <w:rFonts w:ascii="仿宋_GB2312" w:hAnsi="仿宋_GB2312" w:eastAsia="仿宋_GB2312" w:cs="仿宋_GB2312"/>
          <w:color w:val="525353"/>
          <w:sz w:val="32"/>
          <w:szCs w:val="32"/>
        </w:rPr>
        <w:t>1,567.68</w:t>
      </w:r>
      <w:r>
        <w:rPr>
          <w:rFonts w:hint="eastAsia" w:ascii="仿宋_GB2312" w:hAnsi="仿宋_GB2312" w:eastAsia="仿宋_GB2312" w:cs="仿宋_GB2312"/>
          <w:color w:val="525353"/>
          <w:sz w:val="32"/>
          <w:szCs w:val="32"/>
        </w:rPr>
        <w:t>万元，占支出总预算88.81%，同比减少564.59万元，下降26.48%，主要是减少了自治区本级财政专项项目。</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2. 208社会保障和就业支出</w:t>
      </w:r>
      <w:r>
        <w:rPr>
          <w:rFonts w:ascii="仿宋_GB2312" w:hAnsi="仿宋_GB2312" w:eastAsia="仿宋_GB2312" w:cs="仿宋_GB2312"/>
          <w:color w:val="525353"/>
          <w:sz w:val="32"/>
          <w:szCs w:val="32"/>
        </w:rPr>
        <w:t>83.26</w:t>
      </w:r>
      <w:r>
        <w:rPr>
          <w:rFonts w:hint="eastAsia" w:ascii="仿宋_GB2312" w:hAnsi="仿宋_GB2312" w:eastAsia="仿宋_GB2312" w:cs="仿宋_GB2312"/>
          <w:color w:val="525353"/>
          <w:sz w:val="32"/>
          <w:szCs w:val="32"/>
        </w:rPr>
        <w:t>万元，占支出总预算4.72%，同比减少5.93万元，下降6.65%，主要是在职人员减少。</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3.210卫生健康支出</w:t>
      </w:r>
      <w:r>
        <w:rPr>
          <w:rFonts w:ascii="仿宋_GB2312" w:hAnsi="仿宋_GB2312" w:eastAsia="仿宋_GB2312" w:cs="仿宋_GB2312"/>
          <w:color w:val="525353"/>
          <w:sz w:val="32"/>
          <w:szCs w:val="32"/>
        </w:rPr>
        <w:t>72.57</w:t>
      </w:r>
      <w:r>
        <w:rPr>
          <w:rFonts w:hint="eastAsia" w:ascii="仿宋_GB2312" w:hAnsi="仿宋_GB2312" w:eastAsia="仿宋_GB2312" w:cs="仿宋_GB2312"/>
          <w:color w:val="525353"/>
          <w:sz w:val="32"/>
          <w:szCs w:val="32"/>
        </w:rPr>
        <w:t>万元，占支出总预算4.11%，同比增加43.58万元，增长150.33%。主要原因是将计提的公务员医疗补助编入年度预算。</w:t>
      </w:r>
    </w:p>
    <w:p>
      <w:pPr>
        <w:pStyle w:val="4"/>
        <w:shd w:val="clear" w:color="auto" w:fill="FFFFFF"/>
        <w:spacing w:before="0" w:beforeAutospacing="0" w:after="0" w:afterAutospacing="0" w:line="580" w:lineRule="exact"/>
        <w:ind w:firstLine="473" w:firstLineChars="148"/>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4.</w:t>
      </w:r>
      <w:r>
        <w:rPr>
          <w:rStyle w:val="9"/>
          <w:rFonts w:ascii="仿宋_GB2312" w:hAnsi="仿宋_GB2312" w:eastAsia="仿宋_GB2312" w:cs="仿宋_GB2312"/>
          <w:b w:val="0"/>
          <w:bCs w:val="0"/>
          <w:color w:val="525353"/>
          <w:sz w:val="32"/>
          <w:szCs w:val="32"/>
        </w:rPr>
        <w:t xml:space="preserve"> </w:t>
      </w:r>
      <w:r>
        <w:rPr>
          <w:rStyle w:val="9"/>
          <w:rFonts w:hint="eastAsia" w:ascii="仿宋_GB2312" w:hAnsi="仿宋_GB2312" w:eastAsia="仿宋_GB2312" w:cs="仿宋_GB2312"/>
          <w:b w:val="0"/>
          <w:bCs w:val="0"/>
          <w:color w:val="525353"/>
          <w:sz w:val="32"/>
          <w:szCs w:val="32"/>
        </w:rPr>
        <w:t>221住房保障支出</w:t>
      </w:r>
      <w:r>
        <w:rPr>
          <w:rStyle w:val="9"/>
          <w:rFonts w:ascii="仿宋_GB2312" w:hAnsi="仿宋_GB2312" w:eastAsia="仿宋_GB2312" w:cs="仿宋_GB2312"/>
          <w:b w:val="0"/>
          <w:bCs w:val="0"/>
          <w:color w:val="525353"/>
          <w:sz w:val="32"/>
          <w:szCs w:val="32"/>
        </w:rPr>
        <w:t>41.63</w:t>
      </w:r>
      <w:r>
        <w:rPr>
          <w:rFonts w:hint="eastAsia" w:ascii="仿宋_GB2312" w:hAnsi="仿宋_GB2312" w:eastAsia="仿宋_GB2312" w:cs="仿宋_GB2312"/>
          <w:color w:val="525353"/>
          <w:sz w:val="32"/>
          <w:szCs w:val="32"/>
        </w:rPr>
        <w:t>万元，占支出总预算2.36%，同比减少2.97万元，下降6.66%。主要原因是在职人员减少，工资总额减少造成计提的住房公积金减少。</w:t>
      </w:r>
    </w:p>
    <w:p>
      <w:pPr>
        <w:pStyle w:val="4"/>
        <w:shd w:val="clear" w:color="auto" w:fill="FFFFFF"/>
        <w:spacing w:before="0" w:beforeAutospacing="0" w:after="0" w:afterAutospacing="0" w:line="580" w:lineRule="exact"/>
        <w:ind w:firstLine="320" w:firstLineChars="1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（二）按支出结构分类划分</w:t>
      </w:r>
      <w:r>
        <w:rPr>
          <w:rFonts w:hint="eastAsia" w:ascii="仿宋_GB2312" w:hAnsi="仿宋_GB2312" w:eastAsia="仿宋_GB2312" w:cs="仿宋_GB2312"/>
          <w:color w:val="525353"/>
          <w:sz w:val="32"/>
          <w:szCs w:val="32"/>
        </w:rPr>
        <w:t>，分为基本支出预算和项目支出预算。</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1.基本支出预算</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基本支出预算</w:t>
      </w:r>
      <w:r>
        <w:rPr>
          <w:rFonts w:ascii="仿宋_GB2312" w:hAnsi="仿宋_GB2312" w:eastAsia="仿宋_GB2312" w:cs="仿宋_GB2312"/>
          <w:color w:val="525353"/>
          <w:sz w:val="32"/>
          <w:szCs w:val="32"/>
        </w:rPr>
        <w:t>870.54</w:t>
      </w:r>
      <w:r>
        <w:rPr>
          <w:rFonts w:hint="eastAsia" w:ascii="仿宋_GB2312" w:hAnsi="仿宋_GB2312" w:eastAsia="仿宋_GB2312" w:cs="仿宋_GB2312"/>
          <w:color w:val="525353"/>
          <w:sz w:val="32"/>
          <w:szCs w:val="32"/>
        </w:rPr>
        <w:t>万元，占支出总预算49.32%，同比增加27.97万元，增长3.32%。其中：</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（1）</w:t>
      </w:r>
      <w:r>
        <w:rPr>
          <w:rFonts w:hint="eastAsia" w:ascii="仿宋_GB2312" w:hAnsi="仿宋_GB2312" w:eastAsia="仿宋_GB2312" w:cs="仿宋_GB2312"/>
          <w:sz w:val="32"/>
          <w:szCs w:val="32"/>
        </w:rPr>
        <w:t>工资福利支出预算520.45万元，占基本支出预算59.79%，同比减少0.56万元，下降0.11%，主要原因是在职人员减少</w:t>
      </w:r>
      <w:r>
        <w:rPr>
          <w:rFonts w:hint="eastAsia" w:ascii="仿宋_GB2312" w:hAnsi="仿宋_GB2312" w:eastAsia="仿宋_GB2312" w:cs="仿宋_GB2312"/>
          <w:color w:val="525353"/>
          <w:sz w:val="32"/>
          <w:szCs w:val="32"/>
        </w:rPr>
        <w:t>。</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（2）商品和服务支出预算</w:t>
      </w:r>
      <w:r>
        <w:rPr>
          <w:rFonts w:ascii="仿宋_GB2312" w:hAnsi="仿宋_GB2312" w:eastAsia="仿宋_GB2312" w:cs="仿宋_GB2312"/>
          <w:sz w:val="32"/>
          <w:szCs w:val="32"/>
        </w:rPr>
        <w:t>212.12</w:t>
      </w:r>
      <w:r>
        <w:rPr>
          <w:rFonts w:hint="eastAsia" w:ascii="仿宋_GB2312" w:hAnsi="仿宋_GB2312" w:eastAsia="仿宋_GB2312" w:cs="仿宋_GB2312"/>
          <w:sz w:val="32"/>
          <w:szCs w:val="32"/>
        </w:rPr>
        <w:t>万元，占基本支出预算24.37%，同比增加5.08万元，增长2.45%，主要原因是编制食堂运转经费增加。</w:t>
      </w:r>
    </w:p>
    <w:p>
      <w:pPr>
        <w:spacing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（3）对个人和家庭的补助预算</w:t>
      </w:r>
      <w:r>
        <w:rPr>
          <w:rFonts w:ascii="仿宋_GB2312" w:hAnsi="仿宋_GB2312" w:eastAsia="仿宋_GB2312" w:cs="仿宋_GB2312"/>
          <w:sz w:val="32"/>
          <w:szCs w:val="32"/>
        </w:rPr>
        <w:t>137.97</w:t>
      </w:r>
      <w:r>
        <w:rPr>
          <w:rFonts w:hint="eastAsia" w:ascii="仿宋_GB2312" w:hAnsi="仿宋_GB2312" w:eastAsia="仿宋_GB2312" w:cs="仿宋_GB2312"/>
          <w:sz w:val="32"/>
          <w:szCs w:val="32"/>
        </w:rPr>
        <w:t>万元，占基本支出预算15.85%，同比增加23.45万元，增长20.48%，主要原因是将在职及退休人员公务员医疗补助编入预算。</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sz w:val="32"/>
          <w:szCs w:val="32"/>
        </w:rPr>
      </w:pPr>
      <w:r>
        <w:rPr>
          <w:rStyle w:val="9"/>
          <w:rFonts w:hint="eastAsia" w:ascii="仿宋_GB2312" w:hAnsi="仿宋_GB2312" w:eastAsia="仿宋_GB2312" w:cs="仿宋_GB2312"/>
          <w:b w:val="0"/>
          <w:bCs w:val="0"/>
          <w:sz w:val="32"/>
          <w:szCs w:val="32"/>
        </w:rPr>
        <w:t>2.项目支出预算</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项目支出预算</w:t>
      </w:r>
      <w:r>
        <w:rPr>
          <w:rFonts w:ascii="仿宋_GB2312" w:hAnsi="仿宋_GB2312" w:eastAsia="仿宋_GB2312" w:cs="仿宋_GB2312"/>
          <w:sz w:val="32"/>
          <w:szCs w:val="32"/>
        </w:rPr>
        <w:t>894.60</w:t>
      </w:r>
      <w:r>
        <w:rPr>
          <w:rFonts w:hint="eastAsia" w:ascii="仿宋_GB2312" w:hAnsi="仿宋_GB2312" w:eastAsia="仿宋_GB2312" w:cs="仿宋_GB2312"/>
          <w:sz w:val="32"/>
          <w:szCs w:val="32"/>
        </w:rPr>
        <w:t>万元，占支出总预算50.68%，同比减少523万元，下降36.89%，主要原因是</w:t>
      </w:r>
      <w:r>
        <w:rPr>
          <w:rFonts w:hint="eastAsia" w:ascii="仿宋_GB2312" w:hAnsi="仿宋_GB2312" w:eastAsia="仿宋_GB2312" w:cs="仿宋_GB2312"/>
          <w:color w:val="525353"/>
          <w:sz w:val="32"/>
          <w:szCs w:val="32"/>
        </w:rPr>
        <w:t>减少了自治区本级财政专项项目</w:t>
      </w:r>
      <w:r>
        <w:rPr>
          <w:rFonts w:hint="eastAsia" w:ascii="仿宋_GB2312" w:hAnsi="仿宋_GB2312" w:eastAsia="仿宋_GB2312" w:cs="仿宋_GB2312"/>
          <w:sz w:val="32"/>
          <w:szCs w:val="32"/>
        </w:rPr>
        <w:t>。</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其中：</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（1）工资福利支出预算</w:t>
      </w:r>
      <w:r>
        <w:rPr>
          <w:rFonts w:ascii="仿宋_GB2312" w:hAnsi="仿宋_GB2312" w:eastAsia="仿宋_GB2312" w:cs="仿宋_GB2312"/>
          <w:color w:val="525353"/>
          <w:sz w:val="32"/>
          <w:szCs w:val="32"/>
        </w:rPr>
        <w:t>494.08</w:t>
      </w:r>
      <w:r>
        <w:rPr>
          <w:rFonts w:hint="eastAsia" w:ascii="仿宋_GB2312" w:hAnsi="仿宋_GB2312" w:eastAsia="仿宋_GB2312" w:cs="仿宋_GB2312"/>
          <w:color w:val="525353"/>
          <w:sz w:val="32"/>
          <w:szCs w:val="32"/>
        </w:rPr>
        <w:t>万元，占项目支出预算55.23%，同比减少124.44万元，下降20.12%。主要原因是学生人数减少，免学费资助减少。</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（2）商品和服务支出预算</w:t>
      </w:r>
      <w:r>
        <w:rPr>
          <w:rFonts w:ascii="仿宋_GB2312" w:hAnsi="仿宋_GB2312" w:eastAsia="仿宋_GB2312" w:cs="仿宋_GB2312"/>
          <w:color w:val="525353"/>
          <w:sz w:val="32"/>
          <w:szCs w:val="32"/>
        </w:rPr>
        <w:t>106.84</w:t>
      </w:r>
      <w:r>
        <w:rPr>
          <w:rFonts w:hint="eastAsia" w:ascii="仿宋_GB2312" w:hAnsi="仿宋_GB2312" w:eastAsia="仿宋_GB2312" w:cs="仿宋_GB2312"/>
          <w:color w:val="525353"/>
          <w:sz w:val="32"/>
          <w:szCs w:val="32"/>
        </w:rPr>
        <w:t>万元，占项目支出预算11.94%，同比减少70.22万元，下降39.66%。</w:t>
      </w:r>
      <w:r>
        <w:rPr>
          <w:rFonts w:hint="eastAsia" w:ascii="仿宋_GB2312" w:hAnsi="仿宋_GB2312" w:eastAsia="仿宋_GB2312" w:cs="仿宋_GB2312"/>
          <w:sz w:val="32"/>
          <w:szCs w:val="32"/>
        </w:rPr>
        <w:t>主要原因是</w:t>
      </w:r>
      <w:r>
        <w:rPr>
          <w:rFonts w:hint="eastAsia" w:ascii="仿宋_GB2312" w:hAnsi="仿宋_GB2312" w:eastAsia="仿宋_GB2312" w:cs="仿宋_GB2312"/>
          <w:color w:val="525353"/>
          <w:sz w:val="32"/>
          <w:szCs w:val="32"/>
        </w:rPr>
        <w:t>减少了自治区本级财政专项项目。</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（3）对个人和家庭的补助支出预算</w:t>
      </w:r>
      <w:r>
        <w:rPr>
          <w:rFonts w:ascii="仿宋_GB2312" w:hAnsi="仿宋_GB2312" w:eastAsia="仿宋_GB2312" w:cs="仿宋_GB2312"/>
          <w:color w:val="525353"/>
          <w:sz w:val="32"/>
          <w:szCs w:val="32"/>
        </w:rPr>
        <w:t>69.00</w:t>
      </w:r>
      <w:r>
        <w:rPr>
          <w:rFonts w:hint="eastAsia" w:ascii="仿宋_GB2312" w:hAnsi="仿宋_GB2312" w:eastAsia="仿宋_GB2312" w:cs="仿宋_GB2312"/>
          <w:color w:val="525353"/>
          <w:sz w:val="32"/>
          <w:szCs w:val="32"/>
        </w:rPr>
        <w:t>万元，占项目支出预算7.71%，同比减少49.34万元，下降41.69%。原因是减少了自治区本级财政专项项目，以及学生人数减少形成了国家助学金、奖学金的减少。</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（4）资本性支出预算</w:t>
      </w:r>
      <w:r>
        <w:rPr>
          <w:rFonts w:ascii="仿宋_GB2312" w:hAnsi="仿宋_GB2312" w:eastAsia="仿宋_GB2312" w:cs="仿宋_GB2312"/>
          <w:color w:val="525353"/>
          <w:sz w:val="32"/>
          <w:szCs w:val="32"/>
        </w:rPr>
        <w:t>224.68</w:t>
      </w:r>
      <w:r>
        <w:rPr>
          <w:rFonts w:hint="eastAsia" w:ascii="仿宋_GB2312" w:hAnsi="仿宋_GB2312" w:eastAsia="仿宋_GB2312" w:cs="仿宋_GB2312"/>
          <w:color w:val="525353"/>
          <w:sz w:val="32"/>
          <w:szCs w:val="32"/>
        </w:rPr>
        <w:t>万元，占项目支出预算25.12%，同比279万元，下降了55.39%。下降的主要原因是减少了自治区本级财政专项项目。</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四、财政拨款收支预算情况说明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我单位2024年财政拨款总收入</w:t>
      </w:r>
      <w:r>
        <w:rPr>
          <w:rFonts w:ascii="仿宋_GB2312" w:hAnsi="仿宋_GB2312" w:eastAsia="仿宋_GB2312" w:cs="仿宋_GB2312"/>
          <w:color w:val="525353"/>
          <w:sz w:val="32"/>
          <w:szCs w:val="32"/>
        </w:rPr>
        <w:t>1,613.48</w:t>
      </w:r>
      <w:r>
        <w:rPr>
          <w:rFonts w:hint="eastAsia" w:ascii="仿宋_GB2312" w:hAnsi="仿宋_GB2312" w:eastAsia="仿宋_GB2312" w:cs="仿宋_GB2312"/>
          <w:color w:val="525353"/>
          <w:sz w:val="32"/>
          <w:szCs w:val="32"/>
        </w:rPr>
        <w:t>万元，总支出</w:t>
      </w:r>
      <w:r>
        <w:rPr>
          <w:rFonts w:ascii="仿宋_GB2312" w:hAnsi="仿宋_GB2312" w:eastAsia="仿宋_GB2312" w:cs="仿宋_GB2312"/>
          <w:color w:val="525353"/>
          <w:sz w:val="32"/>
          <w:szCs w:val="32"/>
        </w:rPr>
        <w:t>1,613.48</w:t>
      </w:r>
      <w:r>
        <w:rPr>
          <w:rFonts w:hint="eastAsia" w:ascii="仿宋_GB2312" w:hAnsi="仿宋_GB2312" w:eastAsia="仿宋_GB2312" w:cs="仿宋_GB2312"/>
          <w:color w:val="525353"/>
          <w:sz w:val="32"/>
          <w:szCs w:val="32"/>
        </w:rPr>
        <w:t>万元（不含财政拨款上年未列支结转收支数）。财政拨款总收入较上年减少</w:t>
      </w:r>
      <w:r>
        <w:rPr>
          <w:rFonts w:ascii="仿宋_GB2312" w:hAnsi="仿宋_GB2312" w:eastAsia="仿宋_GB2312" w:cs="仿宋_GB2312"/>
          <w:color w:val="525353"/>
          <w:sz w:val="32"/>
          <w:szCs w:val="32"/>
        </w:rPr>
        <w:t>576.44万元，下降</w:t>
      </w:r>
      <w:r>
        <w:rPr>
          <w:rFonts w:hint="eastAsia" w:ascii="仿宋_GB2312" w:hAnsi="仿宋_GB2312" w:eastAsia="仿宋_GB2312" w:cs="仿宋_GB2312"/>
          <w:color w:val="525353"/>
          <w:sz w:val="32"/>
          <w:szCs w:val="32"/>
        </w:rPr>
        <w:t>26.32%，主要原因是减少了自治区本级财政专项项目。财政拨款总支出较上年减少26.32%，主要原因是减少了自治区本级财政专项项目。</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五、一般公共预算支出情况说明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2024年我单位一般公共预算拨款支出</w:t>
      </w:r>
      <w:r>
        <w:rPr>
          <w:rFonts w:ascii="仿宋_GB2312" w:hAnsi="仿宋_GB2312" w:eastAsia="仿宋_GB2312" w:cs="仿宋_GB2312"/>
          <w:color w:val="525353"/>
          <w:sz w:val="32"/>
          <w:szCs w:val="32"/>
        </w:rPr>
        <w:t>1,613.48</w:t>
      </w:r>
      <w:r>
        <w:rPr>
          <w:rFonts w:hint="eastAsia" w:ascii="仿宋_GB2312" w:hAnsi="仿宋_GB2312" w:eastAsia="仿宋_GB2312" w:cs="仿宋_GB2312"/>
          <w:color w:val="525353"/>
          <w:sz w:val="32"/>
          <w:szCs w:val="32"/>
        </w:rPr>
        <w:t>万元，较上年减少</w:t>
      </w:r>
      <w:r>
        <w:rPr>
          <w:rFonts w:ascii="仿宋_GB2312" w:hAnsi="仿宋_GB2312" w:eastAsia="仿宋_GB2312" w:cs="仿宋_GB2312"/>
          <w:color w:val="525353"/>
          <w:sz w:val="32"/>
          <w:szCs w:val="32"/>
        </w:rPr>
        <w:t>576.44万元，下降</w:t>
      </w:r>
      <w:r>
        <w:rPr>
          <w:rFonts w:hint="eastAsia" w:ascii="仿宋_GB2312" w:hAnsi="仿宋_GB2312" w:eastAsia="仿宋_GB2312" w:cs="仿宋_GB2312"/>
          <w:color w:val="525353"/>
          <w:sz w:val="32"/>
          <w:szCs w:val="32"/>
        </w:rPr>
        <w:t>26.32%，主要原因是减少了自治区本级财政专项项目。</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具体支出预算如下：</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1.教育支出—职业教育支出</w:t>
      </w:r>
      <w:r>
        <w:rPr>
          <w:rFonts w:ascii="仿宋_GB2312" w:hAnsi="仿宋_GB2312" w:eastAsia="仿宋_GB2312" w:cs="仿宋_GB2312"/>
          <w:color w:val="525353"/>
          <w:sz w:val="32"/>
          <w:szCs w:val="32"/>
        </w:rPr>
        <w:t>1,489.28</w:t>
      </w:r>
      <w:r>
        <w:rPr>
          <w:rFonts w:hint="eastAsia" w:ascii="仿宋_GB2312" w:hAnsi="仿宋_GB2312" w:eastAsia="仿宋_GB2312" w:cs="仿宋_GB2312"/>
          <w:color w:val="525353"/>
          <w:sz w:val="32"/>
          <w:szCs w:val="32"/>
        </w:rPr>
        <w:t>万元，同比减少567.59万元，下降27.59%。主要原因是减少了自治区本级财政专项项目。</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2.社会保障和就业支出</w:t>
      </w:r>
      <w:r>
        <w:rPr>
          <w:rFonts w:ascii="仿宋_GB2312" w:hAnsi="仿宋_GB2312" w:eastAsia="仿宋_GB2312" w:cs="仿宋_GB2312"/>
          <w:color w:val="525353"/>
          <w:sz w:val="32"/>
          <w:szCs w:val="32"/>
        </w:rPr>
        <w:t>55.51</w:t>
      </w:r>
      <w:r>
        <w:rPr>
          <w:rFonts w:hint="eastAsia" w:ascii="仿宋_GB2312" w:hAnsi="仿宋_GB2312" w:eastAsia="仿宋_GB2312" w:cs="仿宋_GB2312"/>
          <w:color w:val="525353"/>
          <w:sz w:val="32"/>
          <w:szCs w:val="32"/>
        </w:rPr>
        <w:t>万元，全部为基本支出，同比减少3.95万元，下降6.64%。主要是机关事业单位基本养老保险缴费支出。</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3.卫生健康支出</w:t>
      </w:r>
      <w:r>
        <w:rPr>
          <w:rFonts w:hint="eastAsia" w:ascii="仿宋_GB2312" w:hAnsi="仿宋_GB2312" w:eastAsia="仿宋_GB2312" w:cs="仿宋_GB2312"/>
          <w:color w:val="525353"/>
          <w:sz w:val="32"/>
          <w:szCs w:val="32"/>
        </w:rPr>
        <w:t>27.06万元，同比减少1.93万元，下降了6.66%。主要原因是根据自治区统一规定，按事业单位在职工资总额的一定比例计缴的医疗保险支出。</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4.住房保障支出</w:t>
      </w:r>
      <w:r>
        <w:rPr>
          <w:rFonts w:hint="eastAsia" w:ascii="仿宋_GB2312" w:hAnsi="仿宋_GB2312" w:eastAsia="仿宋_GB2312" w:cs="仿宋_GB2312"/>
          <w:color w:val="525353"/>
          <w:sz w:val="32"/>
          <w:szCs w:val="32"/>
        </w:rPr>
        <w:t>41.63万元，同比减少2.97万元，下降6.66%。为按照国家统一规定，为按单位职工工资总额计缴的住房公积金。</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六、一般公共预算基本支出情况说明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2024年一般公共预算基本支出720.88万元，同比减少66.44万元，下降8.44%。具体支出预算如下：</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1.工资福利支出</w:t>
      </w:r>
      <w:r>
        <w:rPr>
          <w:rFonts w:ascii="仿宋_GB2312" w:hAnsi="仿宋_GB2312" w:eastAsia="仿宋_GB2312" w:cs="仿宋_GB2312"/>
          <w:color w:val="525353"/>
          <w:sz w:val="32"/>
          <w:szCs w:val="32"/>
        </w:rPr>
        <w:t>473.56</w:t>
      </w:r>
      <w:r>
        <w:rPr>
          <w:rFonts w:hint="eastAsia" w:ascii="仿宋_GB2312" w:hAnsi="仿宋_GB2312" w:eastAsia="仿宋_GB2312" w:cs="仿宋_GB2312"/>
          <w:color w:val="525353"/>
          <w:sz w:val="32"/>
          <w:szCs w:val="32"/>
        </w:rPr>
        <w:t>万元，占基本支出预算65.69%，同比减少33.72万元，下降6.65%，主要原因</w:t>
      </w:r>
      <w:r>
        <w:rPr>
          <w:rFonts w:hint="eastAsia" w:ascii="仿宋_GB2312" w:hAnsi="仿宋_GB2312" w:eastAsia="仿宋_GB2312" w:cs="仿宋_GB2312"/>
          <w:sz w:val="32"/>
          <w:szCs w:val="32"/>
        </w:rPr>
        <w:t>是在职人员减少</w:t>
      </w:r>
      <w:r>
        <w:rPr>
          <w:rFonts w:hint="eastAsia" w:ascii="仿宋_GB2312" w:hAnsi="仿宋_GB2312" w:eastAsia="仿宋_GB2312" w:cs="仿宋_GB2312"/>
          <w:color w:val="525353"/>
          <w:sz w:val="32"/>
          <w:szCs w:val="32"/>
        </w:rPr>
        <w:t>。</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2.商品和服务支出</w:t>
      </w:r>
      <w:r>
        <w:rPr>
          <w:rFonts w:ascii="仿宋_GB2312" w:hAnsi="仿宋_GB2312" w:eastAsia="仿宋_GB2312" w:cs="仿宋_GB2312"/>
          <w:color w:val="525353"/>
          <w:sz w:val="32"/>
          <w:szCs w:val="32"/>
        </w:rPr>
        <w:t>192.12</w:t>
      </w:r>
      <w:r>
        <w:rPr>
          <w:rFonts w:hint="eastAsia" w:ascii="仿宋_GB2312" w:hAnsi="仿宋_GB2312" w:eastAsia="仿宋_GB2312" w:cs="仿宋_GB2312"/>
          <w:color w:val="525353"/>
          <w:sz w:val="32"/>
          <w:szCs w:val="32"/>
        </w:rPr>
        <w:t>万元，占基本支出预算26.65%，同比减少28.48万元，下降12.91%，主要原因是</w:t>
      </w:r>
      <w:r>
        <w:rPr>
          <w:rFonts w:hint="eastAsia" w:ascii="仿宋_GB2312" w:hAnsi="仿宋_GB2312" w:eastAsia="仿宋_GB2312" w:cs="仿宋_GB2312"/>
          <w:sz w:val="32"/>
          <w:szCs w:val="32"/>
        </w:rPr>
        <w:t>学校学生人数减少，相应减少公用经费</w:t>
      </w:r>
      <w:r>
        <w:rPr>
          <w:rFonts w:hint="eastAsia" w:ascii="仿宋_GB2312" w:hAnsi="仿宋_GB2312" w:eastAsia="仿宋_GB2312" w:cs="仿宋_GB2312"/>
          <w:color w:val="525353"/>
          <w:sz w:val="32"/>
          <w:szCs w:val="32"/>
        </w:rPr>
        <w:t>。</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3.对个人和家庭的补助支出</w:t>
      </w:r>
      <w:r>
        <w:rPr>
          <w:rFonts w:hint="eastAsia" w:ascii="仿宋_GB2312" w:hAnsi="仿宋_GB2312" w:eastAsia="仿宋_GB2312" w:cs="仿宋_GB2312"/>
          <w:color w:val="525353"/>
          <w:sz w:val="32"/>
          <w:szCs w:val="32"/>
        </w:rPr>
        <w:t>55.2万元，占基本支出预算7.66%，同比减少4.24万元，下降7.13%，主要原因是</w:t>
      </w:r>
      <w:r>
        <w:rPr>
          <w:rFonts w:hint="eastAsia" w:ascii="仿宋_GB2312" w:hAnsi="仿宋_GB2312" w:eastAsia="仿宋_GB2312" w:cs="仿宋_GB2312"/>
          <w:sz w:val="32"/>
          <w:szCs w:val="32"/>
        </w:rPr>
        <w:t>学校学生人数减少</w:t>
      </w:r>
      <w:r>
        <w:rPr>
          <w:rFonts w:hint="eastAsia" w:ascii="仿宋_GB2312" w:hAnsi="仿宋_GB2312" w:eastAsia="仿宋_GB2312" w:cs="仿宋_GB2312"/>
          <w:color w:val="525353"/>
          <w:sz w:val="32"/>
          <w:szCs w:val="32"/>
        </w:rPr>
        <w:t>。</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00" w:firstLineChars="200"/>
        <w:rPr>
          <w:rFonts w:ascii="黑体" w:hAnsi="黑体" w:eastAsia="黑体" w:cs="黑体"/>
          <w:color w:val="525353"/>
          <w:sz w:val="30"/>
          <w:szCs w:val="30"/>
        </w:rPr>
      </w:pPr>
      <w:r>
        <w:rPr>
          <w:rFonts w:hint="eastAsia" w:ascii="黑体" w:hAnsi="黑体" w:eastAsia="黑体" w:cs="黑体"/>
          <w:color w:val="525353"/>
          <w:sz w:val="30"/>
          <w:szCs w:val="30"/>
        </w:rPr>
        <w:t>七、一般公共预算“三公”经费情况说明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我单位2024年一般公共预算安排的“三公”经费支出预算0万元，同口径比2023年保持一致，具体如下：</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1.因公出国（境）经费</w:t>
      </w:r>
      <w:r>
        <w:rPr>
          <w:rFonts w:hint="eastAsia" w:ascii="仿宋_GB2312" w:hAnsi="仿宋_GB2312" w:eastAsia="仿宋_GB2312" w:cs="仿宋_GB2312"/>
          <w:color w:val="525353"/>
          <w:sz w:val="32"/>
          <w:szCs w:val="32"/>
        </w:rPr>
        <w:t>0万元，与上年保持一致。</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2.公务接待费</w:t>
      </w:r>
      <w:r>
        <w:rPr>
          <w:rFonts w:hint="eastAsia" w:ascii="仿宋_GB2312" w:hAnsi="仿宋_GB2312" w:eastAsia="仿宋_GB2312" w:cs="仿宋_GB2312"/>
          <w:color w:val="525353"/>
          <w:sz w:val="32"/>
          <w:szCs w:val="32"/>
        </w:rPr>
        <w:t>0万元，与上年保持一致。</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Style w:val="9"/>
          <w:rFonts w:hint="eastAsia" w:ascii="仿宋_GB2312" w:hAnsi="仿宋_GB2312" w:eastAsia="仿宋_GB2312" w:cs="仿宋_GB2312"/>
          <w:b w:val="0"/>
          <w:bCs w:val="0"/>
          <w:color w:val="525353"/>
          <w:sz w:val="32"/>
          <w:szCs w:val="32"/>
        </w:rPr>
        <w:t>3.公务用车运行维护费</w:t>
      </w:r>
      <w:r>
        <w:rPr>
          <w:rFonts w:hint="eastAsia" w:ascii="仿宋_GB2312" w:hAnsi="仿宋_GB2312" w:eastAsia="仿宋_GB2312" w:cs="仿宋_GB2312"/>
          <w:color w:val="525353"/>
          <w:sz w:val="32"/>
          <w:szCs w:val="32"/>
        </w:rPr>
        <w:t>0万元，与上年保持一致，其中：公务用车运行维护费0万元，比上年减少0万元，下降0%；公务用车购置费0万元。</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4.公务用车购置0万元，与上年保持一致。</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八、政府性基金预算情况说明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我单位2024年无政府性基金预算，与上年保持一致。</w:t>
      </w: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 xml:space="preserve">九、国有资本经营预算支出情况说明 </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我单位2024年无国有资本经营预算，与上年保持一致。</w:t>
      </w:r>
    </w:p>
    <w:p>
      <w:pPr>
        <w:pStyle w:val="4"/>
        <w:shd w:val="clear" w:color="auto" w:fill="FFFFFF"/>
        <w:spacing w:before="0" w:beforeAutospacing="0" w:after="0" w:afterAutospacing="0" w:line="580" w:lineRule="exact"/>
        <w:ind w:firstLine="640" w:firstLineChars="200"/>
        <w:rPr>
          <w:rFonts w:ascii="黑体" w:hAnsi="黑体" w:eastAsia="黑体" w:cs="黑体"/>
          <w:color w:val="525353"/>
          <w:sz w:val="32"/>
          <w:szCs w:val="32"/>
        </w:rPr>
      </w:pPr>
      <w:r>
        <w:rPr>
          <w:rFonts w:hint="eastAsia" w:ascii="黑体" w:hAnsi="黑体" w:eastAsia="黑体" w:cs="黑体"/>
          <w:color w:val="525353"/>
          <w:sz w:val="32"/>
          <w:szCs w:val="32"/>
        </w:rPr>
        <w:t>十、其他重要事项情况说明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（一）事业单位相关运行经费情况说明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我单位2024年机关运行费（生均定额）</w:t>
      </w:r>
      <w:r>
        <w:rPr>
          <w:rFonts w:ascii="仿宋_GB2312" w:hAnsi="仿宋_GB2312" w:eastAsia="仿宋_GB2312" w:cs="仿宋_GB2312"/>
          <w:color w:val="525353"/>
          <w:sz w:val="32"/>
          <w:szCs w:val="32"/>
        </w:rPr>
        <w:t>192.12</w:t>
      </w:r>
      <w:r>
        <w:rPr>
          <w:rFonts w:hint="eastAsia" w:ascii="仿宋_GB2312" w:hAnsi="仿宋_GB2312" w:eastAsia="仿宋_GB2312" w:cs="仿宋_GB2312"/>
          <w:color w:val="525353"/>
          <w:sz w:val="32"/>
          <w:szCs w:val="32"/>
        </w:rPr>
        <w:t>万元，同比减少28.48万元，下降12.91%。主要原因是在校学生人数减少。</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（二）政府采购预算安排情况说明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2024年本单位政府采购支出总额</w:t>
      </w:r>
      <w:r>
        <w:rPr>
          <w:rFonts w:ascii="仿宋_GB2312" w:hAnsi="仿宋_GB2312" w:eastAsia="仿宋_GB2312" w:cs="仿宋_GB2312"/>
          <w:color w:val="525353"/>
          <w:sz w:val="32"/>
          <w:szCs w:val="32"/>
        </w:rPr>
        <w:t>66.12</w:t>
      </w:r>
      <w:r>
        <w:rPr>
          <w:rFonts w:hint="eastAsia" w:ascii="仿宋_GB2312" w:hAnsi="仿宋_GB2312" w:eastAsia="仿宋_GB2312" w:cs="仿宋_GB2312"/>
          <w:color w:val="525353"/>
          <w:sz w:val="32"/>
          <w:szCs w:val="32"/>
        </w:rPr>
        <w:t>万元，具体支出如下：</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1.集中采购支出</w:t>
      </w:r>
      <w:r>
        <w:rPr>
          <w:rFonts w:ascii="仿宋_GB2312" w:hAnsi="仿宋_GB2312" w:eastAsia="仿宋_GB2312" w:cs="仿宋_GB2312"/>
          <w:color w:val="525353"/>
          <w:sz w:val="32"/>
          <w:szCs w:val="32"/>
        </w:rPr>
        <w:t>66.12</w:t>
      </w:r>
      <w:r>
        <w:rPr>
          <w:rFonts w:hint="eastAsia" w:ascii="仿宋_GB2312" w:hAnsi="仿宋_GB2312" w:eastAsia="仿宋_GB2312" w:cs="仿宋_GB2312"/>
          <w:color w:val="525353"/>
          <w:sz w:val="32"/>
          <w:szCs w:val="32"/>
        </w:rPr>
        <w:t>万元，其中：货物类支出66万元，服务类支出0.12万元。</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2.分散采购0万元。</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（三）国有资产占用情况说明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2024年国有资产</w:t>
      </w:r>
      <w:r>
        <w:rPr>
          <w:rFonts w:ascii="仿宋_GB2312" w:hAnsi="仿宋_GB2312" w:eastAsia="仿宋_GB2312" w:cs="仿宋_GB2312"/>
          <w:color w:val="525353"/>
          <w:sz w:val="32"/>
          <w:szCs w:val="32"/>
        </w:rPr>
        <w:t>6,709.26</w:t>
      </w:r>
      <w:r>
        <w:rPr>
          <w:rFonts w:hint="eastAsia" w:ascii="仿宋_GB2312" w:hAnsi="仿宋_GB2312" w:eastAsia="仿宋_GB2312" w:cs="仿宋_GB2312"/>
          <w:color w:val="525353"/>
          <w:sz w:val="32"/>
          <w:szCs w:val="32"/>
        </w:rPr>
        <w:t>万元，其中：车辆1辆，即公务用车1辆，计24.84万元；办公用房</w:t>
      </w:r>
      <w:r>
        <w:rPr>
          <w:rFonts w:ascii="仿宋_GB2312" w:hAnsi="仿宋_GB2312" w:eastAsia="仿宋_GB2312" w:cs="仿宋_GB2312"/>
          <w:color w:val="525353"/>
          <w:sz w:val="32"/>
          <w:szCs w:val="32"/>
        </w:rPr>
        <w:t>40.67</w:t>
      </w:r>
      <w:r>
        <w:rPr>
          <w:rFonts w:hint="eastAsia" w:ascii="仿宋_GB2312" w:hAnsi="仿宋_GB2312" w:eastAsia="仿宋_GB2312" w:cs="仿宋_GB2312"/>
          <w:color w:val="525353"/>
          <w:sz w:val="32"/>
          <w:szCs w:val="32"/>
        </w:rPr>
        <w:t>万元，业务用房及其他用房</w:t>
      </w:r>
      <w:r>
        <w:rPr>
          <w:rFonts w:ascii="仿宋_GB2312" w:hAnsi="仿宋_GB2312" w:eastAsia="仿宋_GB2312" w:cs="仿宋_GB2312"/>
          <w:color w:val="525353"/>
          <w:sz w:val="32"/>
          <w:szCs w:val="32"/>
        </w:rPr>
        <w:t>3210.15</w:t>
      </w:r>
      <w:r>
        <w:rPr>
          <w:rFonts w:hint="eastAsia" w:ascii="仿宋_GB2312" w:hAnsi="仿宋_GB2312" w:eastAsia="仿宋_GB2312" w:cs="仿宋_GB2312"/>
          <w:color w:val="525353"/>
          <w:sz w:val="32"/>
          <w:szCs w:val="32"/>
        </w:rPr>
        <w:t>万元；教学及办公设备等计</w:t>
      </w:r>
      <w:r>
        <w:rPr>
          <w:rFonts w:ascii="仿宋_GB2312" w:hAnsi="仿宋_GB2312" w:eastAsia="仿宋_GB2312" w:cs="仿宋_GB2312"/>
          <w:color w:val="525353"/>
          <w:sz w:val="32"/>
          <w:szCs w:val="32"/>
        </w:rPr>
        <w:t>3433.6</w:t>
      </w:r>
      <w:r>
        <w:rPr>
          <w:rFonts w:hint="eastAsia" w:ascii="仿宋_GB2312" w:hAnsi="仿宋_GB2312" w:eastAsia="仿宋_GB2312" w:cs="仿宋_GB2312"/>
          <w:color w:val="525353"/>
          <w:sz w:val="32"/>
          <w:szCs w:val="32"/>
        </w:rPr>
        <w:t>万元。</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（四）重点项目预算绩效目标等情况说明</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2024年预算项目支出中，预算额度在200万以上的项目有2个，具体是：</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1.中等职业教育国家免学费补助中央资金400万元，2024年度绩效目标为项目资金主要用于在编职工绩效工资246.11万元和公积金45.59万元，社保缴费支出112.43万元，计提工会经费5.92万元。，设1条数量指标：数量指标1.</w:t>
      </w:r>
      <w:r>
        <w:rPr>
          <w:rFonts w:hint="eastAsia"/>
        </w:rPr>
        <w:t xml:space="preserve"> </w:t>
      </w:r>
      <w:r>
        <w:rPr>
          <w:rFonts w:hint="eastAsia" w:ascii="仿宋_GB2312" w:hAnsi="仿宋_GB2312" w:eastAsia="仿宋_GB2312" w:cs="仿宋_GB2312"/>
          <w:color w:val="525353"/>
          <w:sz w:val="32"/>
          <w:szCs w:val="32"/>
        </w:rPr>
        <w:t>发放在编职工绩效工资人数≥71人；设1条质量指标：质量指标发放工资合规率100%；设1条时效指标：时效指标发放及时性100%；设1条成本指标：成本指标项目成本≤400万元；设1条社会效益指标：社会效益指标在编职工稳定率</w:t>
      </w:r>
      <w:r>
        <w:rPr>
          <w:rFonts w:hint="eastAsia" w:ascii="仿宋_GB2312" w:hAnsi="仿宋_GB2312" w:eastAsia="仿宋_GB2312" w:cs="仿宋_GB2312"/>
          <w:color w:val="525353"/>
          <w:sz w:val="32"/>
          <w:szCs w:val="32"/>
        </w:rPr>
        <w:tab/>
      </w:r>
      <w:r>
        <w:rPr>
          <w:rFonts w:hint="eastAsia" w:ascii="仿宋_GB2312" w:hAnsi="仿宋_GB2312" w:eastAsia="仿宋_GB2312" w:cs="仿宋_GB2312"/>
          <w:color w:val="525353"/>
          <w:sz w:val="32"/>
          <w:szCs w:val="32"/>
        </w:rPr>
        <w:t>≥80%；设1条满意度指标：满意度指标在编职工满意度≥90%。</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2.</w:t>
      </w:r>
      <w:r>
        <w:rPr>
          <w:rFonts w:hint="eastAsia"/>
        </w:rPr>
        <w:t xml:space="preserve"> </w:t>
      </w:r>
      <w:r>
        <w:rPr>
          <w:rFonts w:hint="eastAsia" w:ascii="仿宋_GB2312" w:hAnsi="仿宋_GB2312" w:eastAsia="仿宋_GB2312" w:cs="仿宋_GB2312"/>
          <w:color w:val="525353"/>
          <w:sz w:val="32"/>
          <w:szCs w:val="32"/>
        </w:rPr>
        <w:t>中央现代职业教育质量提升计划资金</w:t>
      </w:r>
      <w:r>
        <w:rPr>
          <w:rFonts w:ascii="仿宋_GB2312" w:hAnsi="仿宋_GB2312" w:eastAsia="仿宋_GB2312" w:cs="仿宋_GB2312"/>
          <w:color w:val="525353"/>
          <w:sz w:val="32"/>
          <w:szCs w:val="32"/>
        </w:rPr>
        <w:t>323.60</w:t>
      </w:r>
      <w:r>
        <w:rPr>
          <w:rFonts w:hint="eastAsia" w:ascii="仿宋_GB2312" w:hAnsi="仿宋_GB2312" w:eastAsia="仿宋_GB2312" w:cs="仿宋_GB2312"/>
          <w:color w:val="525353"/>
          <w:sz w:val="32"/>
          <w:szCs w:val="32"/>
        </w:rPr>
        <w:t>万元，2024年度绩效目标为新增购置三维设计教学专用工作站50台、妙境界控制台（技能大赛专用）4台套，增加设计实训工位50个，可满足150名设计专业教学需要；进一步推进教学诊改工作，完善教学诊改制度建设；对学校现有教学用房进行安全检测，排查安全隐患，对已出现的安全隐患进行加固修缮。设2条数量指标：数量指标1.</w:t>
      </w:r>
      <w:r>
        <w:rPr>
          <w:rFonts w:hint="eastAsia"/>
        </w:rPr>
        <w:t xml:space="preserve"> </w:t>
      </w:r>
      <w:r>
        <w:rPr>
          <w:rFonts w:hint="eastAsia" w:ascii="仿宋_GB2312" w:hAnsi="仿宋_GB2312" w:eastAsia="仿宋_GB2312" w:cs="仿宋_GB2312"/>
          <w:color w:val="525353"/>
          <w:sz w:val="32"/>
          <w:szCs w:val="32"/>
        </w:rPr>
        <w:t>新增购置三维设计教学专用工作站50台</w:t>
      </w:r>
      <w:r>
        <w:rPr>
          <w:rFonts w:hint="eastAsia" w:ascii="仿宋_GB2312" w:hAnsi="仿宋_GB2312" w:eastAsia="仿宋_GB2312" w:cs="仿宋_GB2312"/>
          <w:color w:val="525353"/>
          <w:sz w:val="32"/>
          <w:szCs w:val="32"/>
        </w:rPr>
        <w:tab/>
      </w:r>
      <w:r>
        <w:rPr>
          <w:rFonts w:hint="eastAsia" w:ascii="仿宋_GB2312" w:hAnsi="仿宋_GB2312" w:eastAsia="仿宋_GB2312" w:cs="仿宋_GB2312"/>
          <w:color w:val="525353"/>
          <w:sz w:val="32"/>
          <w:szCs w:val="32"/>
        </w:rPr>
        <w:t>,数量指标2.</w:t>
      </w:r>
      <w:r>
        <w:rPr>
          <w:rFonts w:hint="eastAsia"/>
        </w:rPr>
        <w:t xml:space="preserve"> </w:t>
      </w:r>
      <w:r>
        <w:rPr>
          <w:rFonts w:hint="eastAsia" w:ascii="仿宋_GB2312" w:hAnsi="仿宋_GB2312" w:eastAsia="仿宋_GB2312" w:cs="仿宋_GB2312"/>
          <w:color w:val="525353"/>
          <w:sz w:val="32"/>
          <w:szCs w:val="32"/>
        </w:rPr>
        <w:t>购置妙境界控制台（技能大赛专用）4台套；设1条质量指标：质量指标验收合格率=100%；设1条时效指标：完成时间，2024年12月31日前；设1条成本指标：成本指标项目成本≤323.6万元；设3条社会效益指标：社会效益指标1.</w:t>
      </w:r>
      <w:r>
        <w:rPr>
          <w:rFonts w:hint="eastAsia"/>
        </w:rPr>
        <w:t xml:space="preserve"> </w:t>
      </w:r>
      <w:r>
        <w:rPr>
          <w:rFonts w:hint="eastAsia" w:ascii="仿宋_GB2312" w:hAnsi="仿宋_GB2312" w:eastAsia="仿宋_GB2312" w:cs="仿宋_GB2312"/>
          <w:color w:val="525353"/>
          <w:sz w:val="32"/>
          <w:szCs w:val="32"/>
        </w:rPr>
        <w:t>增加设计实训工位90个, 社会效益指标2.</w:t>
      </w:r>
      <w:r>
        <w:rPr>
          <w:rFonts w:hint="eastAsia"/>
        </w:rPr>
        <w:t xml:space="preserve"> </w:t>
      </w:r>
      <w:r>
        <w:rPr>
          <w:rFonts w:hint="eastAsia" w:ascii="仿宋_GB2312" w:hAnsi="仿宋_GB2312" w:eastAsia="仿宋_GB2312" w:cs="仿宋_GB2312"/>
          <w:color w:val="525353"/>
          <w:sz w:val="32"/>
          <w:szCs w:val="32"/>
        </w:rPr>
        <w:t>可满足教学需要，培养150名设计专业学生，3.</w:t>
      </w:r>
      <w:r>
        <w:rPr>
          <w:rFonts w:hint="eastAsia"/>
        </w:rPr>
        <w:t xml:space="preserve"> </w:t>
      </w:r>
      <w:r>
        <w:rPr>
          <w:rFonts w:hint="eastAsia" w:ascii="仿宋_GB2312" w:hAnsi="仿宋_GB2312" w:eastAsia="仿宋_GB2312" w:cs="仿宋_GB2312"/>
          <w:color w:val="525353"/>
          <w:sz w:val="32"/>
          <w:szCs w:val="32"/>
        </w:rPr>
        <w:t>教学用房安全事故发生率为0%；设1个可持续影响指标，设备可使用年限</w:t>
      </w:r>
      <w:r>
        <w:rPr>
          <w:rFonts w:hint="eastAsia" w:ascii="仿宋_GB2312" w:hAnsi="仿宋_GB2312" w:eastAsia="仿宋_GB2312" w:cs="仿宋_GB2312"/>
          <w:color w:val="525353"/>
          <w:sz w:val="32"/>
          <w:szCs w:val="32"/>
        </w:rPr>
        <w:tab/>
      </w:r>
      <w:r>
        <w:rPr>
          <w:rFonts w:hint="eastAsia" w:ascii="仿宋_GB2312" w:hAnsi="仿宋_GB2312" w:eastAsia="仿宋_GB2312" w:cs="仿宋_GB2312"/>
          <w:color w:val="525353"/>
          <w:sz w:val="32"/>
          <w:szCs w:val="32"/>
        </w:rPr>
        <w:tab/>
      </w:r>
      <w:r>
        <w:rPr>
          <w:rFonts w:hint="eastAsia" w:ascii="仿宋_GB2312" w:hAnsi="仿宋_GB2312" w:eastAsia="仿宋_GB2312" w:cs="仿宋_GB2312"/>
          <w:color w:val="525353"/>
          <w:sz w:val="32"/>
          <w:szCs w:val="32"/>
        </w:rPr>
        <w:t>≥5年；设1条满意度指标：满意度指标1.</w:t>
      </w:r>
      <w:r>
        <w:rPr>
          <w:rFonts w:hint="eastAsia"/>
        </w:rPr>
        <w:t xml:space="preserve"> </w:t>
      </w:r>
      <w:r>
        <w:rPr>
          <w:rFonts w:hint="eastAsia" w:ascii="仿宋_GB2312" w:hAnsi="仿宋_GB2312" w:eastAsia="仿宋_GB2312" w:cs="仿宋_GB2312"/>
          <w:color w:val="525353"/>
          <w:sz w:val="32"/>
          <w:szCs w:val="32"/>
        </w:rPr>
        <w:t>师生满意度≥90%。</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jc w:val="center"/>
        <w:rPr>
          <w:rFonts w:ascii="黑体" w:hAnsi="黑体" w:eastAsia="黑体" w:cs="黑体"/>
          <w:sz w:val="30"/>
          <w:szCs w:val="30"/>
        </w:rPr>
      </w:pPr>
      <w:r>
        <w:rPr>
          <w:rStyle w:val="9"/>
          <w:rFonts w:hint="eastAsia" w:ascii="黑体" w:hAnsi="黑体" w:eastAsia="黑体" w:cs="黑体"/>
          <w:b w:val="0"/>
          <w:bCs w:val="0"/>
          <w:sz w:val="32"/>
          <w:szCs w:val="32"/>
        </w:rPr>
        <w:t>第三部分：</w:t>
      </w:r>
      <w:r>
        <w:rPr>
          <w:rFonts w:hint="eastAsia" w:ascii="黑体" w:hAnsi="黑体" w:eastAsia="黑体" w:cs="黑体"/>
          <w:sz w:val="30"/>
          <w:szCs w:val="30"/>
        </w:rPr>
        <w:t>名词解释</w:t>
      </w:r>
    </w:p>
    <w:p>
      <w:pPr>
        <w:pStyle w:val="4"/>
        <w:shd w:val="clear" w:color="auto" w:fill="FFFFFF"/>
        <w:spacing w:before="0" w:beforeAutospacing="0" w:after="0" w:afterAutospacing="0" w:line="580" w:lineRule="exact"/>
        <w:jc w:val="center"/>
        <w:rPr>
          <w:rFonts w:ascii="黑体" w:hAnsi="黑体" w:eastAsia="黑体" w:cs="黑体"/>
          <w:sz w:val="30"/>
          <w:szCs w:val="30"/>
        </w:rPr>
      </w:pPr>
    </w:p>
    <w:p>
      <w:pPr>
        <w:pStyle w:val="4"/>
        <w:shd w:val="clear" w:color="auto" w:fill="FFFFFF"/>
        <w:spacing w:before="0" w:beforeAutospacing="0" w:after="0" w:afterAutospacing="0" w:line="580" w:lineRule="exact"/>
        <w:ind w:firstLine="6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一、单位预算。指主管预算部门依据相关法律、法规和政策规定及其行使职能需要，组织所属预算单位编制并逐级上报、审核、汇总，经财政部门审核后按程序依法批准的部门综合收支计划。</w:t>
      </w:r>
    </w:p>
    <w:p>
      <w:pPr>
        <w:pStyle w:val="4"/>
        <w:shd w:val="clear" w:color="auto" w:fill="FFFFFF"/>
        <w:spacing w:before="0" w:beforeAutospacing="0" w:after="0" w:afterAutospacing="0" w:line="580" w:lineRule="exact"/>
        <w:ind w:firstLine="6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二、财政拨款预算收入。指单位从同级政府财政部门取得的各类财政拨款。</w:t>
      </w:r>
    </w:p>
    <w:p>
      <w:pPr>
        <w:pStyle w:val="4"/>
        <w:wordWrap w:val="0"/>
        <w:spacing w:before="0" w:beforeAutospacing="0" w:after="0" w:afterAutospacing="0" w:line="580" w:lineRule="exact"/>
        <w:ind w:firstLine="645"/>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三、基本支出。指为保障机构正常运转、完成日常工作任务而发生的人员支出和公用支出。</w:t>
      </w:r>
    </w:p>
    <w:p>
      <w:pPr>
        <w:pStyle w:val="4"/>
        <w:wordWrap w:val="0"/>
        <w:spacing w:before="0" w:beforeAutospacing="0" w:after="0" w:afterAutospacing="0" w:line="580" w:lineRule="exact"/>
        <w:ind w:firstLine="645"/>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rPr>
        <w:t>四、项目支出。指在基本支出之外为完成特定行政任务和事业发展目标所发生的支出。</w:t>
      </w:r>
    </w:p>
    <w:p>
      <w:pPr>
        <w:pStyle w:val="4"/>
        <w:shd w:val="clear" w:color="auto" w:fill="FFFFFF"/>
        <w:spacing w:before="0" w:beforeAutospacing="0" w:after="0" w:afterAutospacing="0" w:line="580" w:lineRule="exact"/>
        <w:ind w:firstLine="6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三公”经费。指省级部门用财政拨款安排的因公出国（境）费、公务用车购置及运行费和公务接待费。其中，因公出国（境）费反映单位公务出国（境）的国际差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接待（含外宾接待）支出。</w:t>
      </w:r>
    </w:p>
    <w:p>
      <w:pPr>
        <w:pStyle w:val="4"/>
        <w:shd w:val="clear" w:color="auto" w:fill="FFFFFF"/>
        <w:spacing w:before="0" w:beforeAutospacing="0" w:after="0" w:afterAutospacing="0" w:line="580" w:lineRule="exact"/>
        <w:ind w:firstLine="633" w:firstLineChars="198"/>
        <w:jc w:val="center"/>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594" w:firstLineChars="198"/>
        <w:jc w:val="center"/>
        <w:rPr>
          <w:rFonts w:ascii="黑体" w:hAnsi="黑体" w:eastAsia="黑体" w:cs="黑体"/>
          <w:sz w:val="32"/>
          <w:szCs w:val="32"/>
        </w:rPr>
      </w:pPr>
      <w:r>
        <w:rPr>
          <w:rFonts w:hint="eastAsia" w:ascii="黑体" w:hAnsi="黑体" w:eastAsia="黑体" w:cs="黑体"/>
          <w:sz w:val="30"/>
          <w:szCs w:val="30"/>
        </w:rPr>
        <w:t>第四部分</w:t>
      </w:r>
      <w:r>
        <w:rPr>
          <w:rFonts w:hint="eastAsia" w:ascii="黑体" w:hAnsi="黑体" w:eastAsia="黑体" w:cs="黑体"/>
          <w:sz w:val="32"/>
          <w:szCs w:val="32"/>
        </w:rPr>
        <w:t>广西工艺美术学校</w:t>
      </w:r>
      <w:r>
        <w:rPr>
          <w:rStyle w:val="9"/>
          <w:rFonts w:hint="eastAsia" w:ascii="黑体" w:hAnsi="黑体" w:eastAsia="黑体" w:cs="黑体"/>
          <w:b w:val="0"/>
          <w:bCs w:val="0"/>
          <w:sz w:val="32"/>
          <w:szCs w:val="32"/>
        </w:rPr>
        <w:t>2023年单位预算公开报表</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一、单位收支总体情况表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二、单位收入总体情况表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三、单位支出总体情况表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四、财政拨款收支总体情况表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五、一般公共预算支出情况表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六、一般公共预算基本支出情况表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七、财政拨款“三公”经费、会议费和培训费</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八、政府性基金预算支出情况表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九、国有资本经营预算支出情况表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十、表10 自治区本级项目绩效目标公开表</w:t>
      </w:r>
    </w:p>
    <w:p>
      <w:pPr>
        <w:pStyle w:val="4"/>
        <w:spacing w:before="0" w:beforeAutospacing="0" w:after="0" w:afterAutospacing="0" w:line="580" w:lineRule="exact"/>
        <w:ind w:firstLine="640" w:firstLineChars="200"/>
        <w:rPr>
          <w:rFonts w:ascii="仿宋_GB2312" w:hAnsi="仿宋_GB2312" w:eastAsia="仿宋_GB2312" w:cs="仿宋_GB2312"/>
          <w:color w:val="525353"/>
          <w:sz w:val="32"/>
          <w:szCs w:val="32"/>
        </w:rPr>
      </w:pPr>
      <w:r>
        <w:rPr>
          <w:rFonts w:hint="eastAsia" w:ascii="仿宋_GB2312" w:hAnsi="仿宋_GB2312" w:eastAsia="仿宋_GB2312" w:cs="仿宋_GB2312"/>
          <w:color w:val="525353"/>
          <w:sz w:val="32"/>
          <w:szCs w:val="32"/>
        </w:rPr>
        <w:t>十一、表11 自治区对下转移支付项目绩效目标公开表</w:t>
      </w:r>
    </w:p>
    <w:p>
      <w:pPr>
        <w:pStyle w:val="4"/>
        <w:shd w:val="clear" w:color="auto" w:fill="FFFFFF"/>
        <w:spacing w:before="0" w:beforeAutospacing="0" w:after="0" w:afterAutospacing="0" w:line="580" w:lineRule="exact"/>
        <w:ind w:firstLine="640" w:firstLineChars="200"/>
        <w:rPr>
          <w:rFonts w:ascii="仿宋_GB2312" w:hAnsi="仿宋_GB2312" w:eastAsia="仿宋_GB2312" w:cs="仿宋_GB2312"/>
          <w:color w:val="525353"/>
          <w:sz w:val="32"/>
          <w:szCs w:val="32"/>
        </w:rPr>
      </w:pPr>
    </w:p>
    <w:p>
      <w:pPr>
        <w:pStyle w:val="4"/>
        <w:shd w:val="clear" w:color="auto" w:fill="FFFFFF"/>
        <w:spacing w:before="0" w:beforeAutospacing="0" w:after="0" w:afterAutospacing="0" w:line="580" w:lineRule="exact"/>
        <w:ind w:firstLine="640" w:firstLineChars="200"/>
        <w:rPr>
          <w:sz w:val="32"/>
          <w:szCs w:val="32"/>
        </w:rPr>
      </w:pPr>
      <w:r>
        <w:rPr>
          <w:sz w:val="32"/>
          <w:szCs w:val="32"/>
        </w:rPr>
        <w:t>链接地址：</w:t>
      </w:r>
      <w:r>
        <w:rPr>
          <w:rFonts w:ascii="Source Sans Pro" w:hAnsi="Source Sans Pro" w:eastAsia="Source Sans Pro" w:cs="Source Sans Pro"/>
          <w:i w:val="0"/>
          <w:iCs w:val="0"/>
          <w:caps w:val="0"/>
          <w:color w:val="000000"/>
          <w:spacing w:val="0"/>
          <w:sz w:val="19"/>
          <w:szCs w:val="19"/>
          <w:shd w:val="clear" w:fill="FFFFFF"/>
        </w:rPr>
        <w:t>http://www.gxgymsxx.com/uploads/20240223/67fd5c535a8a9c34e52da539e4b1a0eb.xlsx</w:t>
      </w:r>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ource Sans Pro">
    <w:altName w:val="Malgun Gothic"/>
    <w:panose1 w:val="020B0503030403020204"/>
    <w:charset w:val="00"/>
    <w:family w:val="auto"/>
    <w:pitch w:val="default"/>
    <w:sig w:usb0="00000000" w:usb1="00000000" w:usb2="00000000" w:usb3="00000000" w:csb0="2000019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7527543"/>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iNDdkMzA2OGQzMDhlMGYxZGRjZjUyMTM2ODQ1YzQifQ=="/>
  </w:docVars>
  <w:rsids>
    <w:rsidRoot w:val="004C56AA"/>
    <w:rsid w:val="000176AF"/>
    <w:rsid w:val="000470F6"/>
    <w:rsid w:val="000575A6"/>
    <w:rsid w:val="00074051"/>
    <w:rsid w:val="00083B0C"/>
    <w:rsid w:val="000851D8"/>
    <w:rsid w:val="000856DC"/>
    <w:rsid w:val="000D0024"/>
    <w:rsid w:val="000D0190"/>
    <w:rsid w:val="000D34F7"/>
    <w:rsid w:val="00123917"/>
    <w:rsid w:val="00130E5D"/>
    <w:rsid w:val="00135C0F"/>
    <w:rsid w:val="001406E3"/>
    <w:rsid w:val="001518DC"/>
    <w:rsid w:val="00196822"/>
    <w:rsid w:val="001976B3"/>
    <w:rsid w:val="001A2B9B"/>
    <w:rsid w:val="001C275F"/>
    <w:rsid w:val="0022674E"/>
    <w:rsid w:val="00226CFF"/>
    <w:rsid w:val="0025389B"/>
    <w:rsid w:val="002648AB"/>
    <w:rsid w:val="00273755"/>
    <w:rsid w:val="002B4E74"/>
    <w:rsid w:val="002B5B42"/>
    <w:rsid w:val="002E4610"/>
    <w:rsid w:val="00340219"/>
    <w:rsid w:val="0034431C"/>
    <w:rsid w:val="003504AD"/>
    <w:rsid w:val="003938FB"/>
    <w:rsid w:val="00396B1B"/>
    <w:rsid w:val="003C1385"/>
    <w:rsid w:val="003D2BDC"/>
    <w:rsid w:val="003D66D6"/>
    <w:rsid w:val="003E71A3"/>
    <w:rsid w:val="00401A7D"/>
    <w:rsid w:val="004113F0"/>
    <w:rsid w:val="004366BB"/>
    <w:rsid w:val="00436A8D"/>
    <w:rsid w:val="00484994"/>
    <w:rsid w:val="00497DBE"/>
    <w:rsid w:val="004B4178"/>
    <w:rsid w:val="004C3F9D"/>
    <w:rsid w:val="004C56AA"/>
    <w:rsid w:val="005141CC"/>
    <w:rsid w:val="00521EB3"/>
    <w:rsid w:val="00525F7B"/>
    <w:rsid w:val="005323CE"/>
    <w:rsid w:val="0053536C"/>
    <w:rsid w:val="00582B40"/>
    <w:rsid w:val="005D7F4A"/>
    <w:rsid w:val="005F3B1C"/>
    <w:rsid w:val="006415E2"/>
    <w:rsid w:val="00666516"/>
    <w:rsid w:val="006846E6"/>
    <w:rsid w:val="0069654B"/>
    <w:rsid w:val="006A29CA"/>
    <w:rsid w:val="006A6DD3"/>
    <w:rsid w:val="006C00B8"/>
    <w:rsid w:val="006C6300"/>
    <w:rsid w:val="007315BE"/>
    <w:rsid w:val="00750B39"/>
    <w:rsid w:val="007773B5"/>
    <w:rsid w:val="007A75BF"/>
    <w:rsid w:val="007B6B66"/>
    <w:rsid w:val="007C147F"/>
    <w:rsid w:val="007C14E2"/>
    <w:rsid w:val="008151A1"/>
    <w:rsid w:val="00817C7B"/>
    <w:rsid w:val="008273B9"/>
    <w:rsid w:val="00851914"/>
    <w:rsid w:val="00864ED0"/>
    <w:rsid w:val="00872885"/>
    <w:rsid w:val="008A3A33"/>
    <w:rsid w:val="008C51DC"/>
    <w:rsid w:val="008E54E6"/>
    <w:rsid w:val="008F292F"/>
    <w:rsid w:val="00906CC0"/>
    <w:rsid w:val="00980F7B"/>
    <w:rsid w:val="009B2ED4"/>
    <w:rsid w:val="009C7261"/>
    <w:rsid w:val="009E03BB"/>
    <w:rsid w:val="009E14BF"/>
    <w:rsid w:val="009E7C44"/>
    <w:rsid w:val="00A13AE4"/>
    <w:rsid w:val="00A20211"/>
    <w:rsid w:val="00A568DF"/>
    <w:rsid w:val="00AB1AE4"/>
    <w:rsid w:val="00AB1D3A"/>
    <w:rsid w:val="00AB2B02"/>
    <w:rsid w:val="00B22755"/>
    <w:rsid w:val="00B35162"/>
    <w:rsid w:val="00B65097"/>
    <w:rsid w:val="00B70520"/>
    <w:rsid w:val="00B76E53"/>
    <w:rsid w:val="00B93FE7"/>
    <w:rsid w:val="00BA3D53"/>
    <w:rsid w:val="00BD056E"/>
    <w:rsid w:val="00C458C7"/>
    <w:rsid w:val="00C53783"/>
    <w:rsid w:val="00C94562"/>
    <w:rsid w:val="00CC4FE0"/>
    <w:rsid w:val="00CD123B"/>
    <w:rsid w:val="00CD54ED"/>
    <w:rsid w:val="00D216CC"/>
    <w:rsid w:val="00D273E7"/>
    <w:rsid w:val="00DB79D0"/>
    <w:rsid w:val="00DC73C0"/>
    <w:rsid w:val="00DD7269"/>
    <w:rsid w:val="00E0613B"/>
    <w:rsid w:val="00E12423"/>
    <w:rsid w:val="00E16A85"/>
    <w:rsid w:val="00E20F8C"/>
    <w:rsid w:val="00E30253"/>
    <w:rsid w:val="00EA1243"/>
    <w:rsid w:val="00EB1001"/>
    <w:rsid w:val="00EC3B9F"/>
    <w:rsid w:val="00ED10FC"/>
    <w:rsid w:val="00EE591F"/>
    <w:rsid w:val="00EF3B94"/>
    <w:rsid w:val="00F052A3"/>
    <w:rsid w:val="00F07077"/>
    <w:rsid w:val="00F458F9"/>
    <w:rsid w:val="00F77C27"/>
    <w:rsid w:val="00F86EA3"/>
    <w:rsid w:val="00FA4D2A"/>
    <w:rsid w:val="00FA4FA5"/>
    <w:rsid w:val="00FB0F30"/>
    <w:rsid w:val="00FB45A0"/>
    <w:rsid w:val="00FC3614"/>
    <w:rsid w:val="00FE16F4"/>
    <w:rsid w:val="03B941BE"/>
    <w:rsid w:val="044B79FD"/>
    <w:rsid w:val="05E24683"/>
    <w:rsid w:val="063A4344"/>
    <w:rsid w:val="09A37DE3"/>
    <w:rsid w:val="0AF45D43"/>
    <w:rsid w:val="0BD82199"/>
    <w:rsid w:val="0DCC7A7C"/>
    <w:rsid w:val="123030BD"/>
    <w:rsid w:val="132D3AA8"/>
    <w:rsid w:val="16DC592F"/>
    <w:rsid w:val="180622BA"/>
    <w:rsid w:val="1BA13167"/>
    <w:rsid w:val="1D6520A5"/>
    <w:rsid w:val="1DBE2A2F"/>
    <w:rsid w:val="22011272"/>
    <w:rsid w:val="28D218AB"/>
    <w:rsid w:val="34802FEC"/>
    <w:rsid w:val="35481F20"/>
    <w:rsid w:val="356B0460"/>
    <w:rsid w:val="39C8094D"/>
    <w:rsid w:val="3A5050E8"/>
    <w:rsid w:val="3BF56D17"/>
    <w:rsid w:val="3D2F021B"/>
    <w:rsid w:val="3EA770AD"/>
    <w:rsid w:val="402104B1"/>
    <w:rsid w:val="41BB4BCA"/>
    <w:rsid w:val="425E5E24"/>
    <w:rsid w:val="43942D6C"/>
    <w:rsid w:val="43D4718E"/>
    <w:rsid w:val="43E434D4"/>
    <w:rsid w:val="48894E24"/>
    <w:rsid w:val="48FD109F"/>
    <w:rsid w:val="4A527513"/>
    <w:rsid w:val="4CA3511F"/>
    <w:rsid w:val="51AF740C"/>
    <w:rsid w:val="56612FE1"/>
    <w:rsid w:val="583F1251"/>
    <w:rsid w:val="5921376A"/>
    <w:rsid w:val="594D3BBD"/>
    <w:rsid w:val="5F2F6F75"/>
    <w:rsid w:val="61532634"/>
    <w:rsid w:val="61892393"/>
    <w:rsid w:val="624960DF"/>
    <w:rsid w:val="62B539FE"/>
    <w:rsid w:val="6800303A"/>
    <w:rsid w:val="683E2453"/>
    <w:rsid w:val="6D012F66"/>
    <w:rsid w:val="6FCB6B29"/>
    <w:rsid w:val="706853A6"/>
    <w:rsid w:val="730E0590"/>
    <w:rsid w:val="758B2186"/>
    <w:rsid w:val="75E628C1"/>
    <w:rsid w:val="77243484"/>
    <w:rsid w:val="7A624466"/>
    <w:rsid w:val="7DD5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2"/>
    <w:qFormat/>
    <w:uiPriority w:val="99"/>
    <w:pPr>
      <w:tabs>
        <w:tab w:val="center" w:pos="4153"/>
        <w:tab w:val="right" w:pos="8306"/>
      </w:tabs>
      <w:snapToGrid w:val="0"/>
      <w:jc w:val="left"/>
    </w:pPr>
    <w:rPr>
      <w:sz w:val="18"/>
      <w:szCs w:val="18"/>
    </w:rPr>
  </w:style>
  <w:style w:type="paragraph" w:styleId="3">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7">
    <w:name w:val="FollowedHyperlink"/>
    <w:basedOn w:val="6"/>
    <w:uiPriority w:val="0"/>
    <w:rPr>
      <w:color w:val="800080"/>
      <w:u w:val="single"/>
    </w:rPr>
  </w:style>
  <w:style w:type="character" w:styleId="8">
    <w:name w:val="Hyperlink"/>
    <w:basedOn w:val="6"/>
    <w:qFormat/>
    <w:uiPriority w:val="0"/>
    <w:rPr>
      <w:color w:val="0000FF"/>
      <w:u w:val="single"/>
    </w:rPr>
  </w:style>
  <w:style w:type="character" w:customStyle="1" w:styleId="9">
    <w:name w:val="17"/>
    <w:qFormat/>
    <w:uiPriority w:val="0"/>
    <w:rPr>
      <w:rFonts w:hint="default" w:ascii="Times New Roman" w:hAnsi="Times New Roman" w:cs="Times New Roman"/>
      <w:b/>
      <w:bCs/>
    </w:rPr>
  </w:style>
  <w:style w:type="character" w:customStyle="1" w:styleId="10">
    <w:name w:val="16"/>
    <w:qFormat/>
    <w:uiPriority w:val="0"/>
    <w:rPr>
      <w:rFonts w:hint="default" w:ascii="Times New Roman" w:hAnsi="Times New Roman" w:cs="Times New Roman"/>
      <w:color w:val="0000FF"/>
      <w:u w:val="single"/>
    </w:rPr>
  </w:style>
  <w:style w:type="character" w:customStyle="1" w:styleId="11">
    <w:name w:val="页眉 Char"/>
    <w:link w:val="3"/>
    <w:qFormat/>
    <w:uiPriority w:val="0"/>
    <w:rPr>
      <w:kern w:val="2"/>
      <w:sz w:val="18"/>
      <w:szCs w:val="18"/>
    </w:rPr>
  </w:style>
  <w:style w:type="character" w:customStyle="1" w:styleId="12">
    <w:name w:val="页脚 Char"/>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905</Words>
  <Characters>5162</Characters>
  <Lines>43</Lines>
  <Paragraphs>12</Paragraphs>
  <TotalTime>1948</TotalTime>
  <ScaleCrop>false</ScaleCrop>
  <LinksUpToDate>false</LinksUpToDate>
  <CharactersWithSpaces>6055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2022-02-15T02:03:00Z</dcterms:created>
  <dc:creator>admin</dc:creator>
  <cp:lastModifiedBy>wps</cp:lastModifiedBy>
  <dcterms:modified xsi:type="dcterms:W3CDTF">2024-04-22T02:24:24Z</dcterms:modified>
  <dc:title>广西壮族自治区二轻城镇集体工业联合社2021年部门预算公开</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B5FB7D100BA846F5963A4BA1304660AB_12</vt:lpwstr>
  </property>
</Properties>
</file>